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E3" w:rsidRDefault="002D75E3" w:rsidP="00267477">
      <w:pPr>
        <w:jc w:val="center"/>
        <w:rPr>
          <w:b/>
          <w:i/>
          <w:sz w:val="32"/>
          <w:szCs w:val="32"/>
        </w:rPr>
      </w:pPr>
    </w:p>
    <w:p w:rsidR="00200B81" w:rsidRDefault="00267477" w:rsidP="00267477">
      <w:pPr>
        <w:jc w:val="center"/>
        <w:rPr>
          <w:b/>
          <w:i/>
          <w:sz w:val="32"/>
          <w:szCs w:val="32"/>
        </w:rPr>
      </w:pPr>
      <w:r w:rsidRPr="002D75E3">
        <w:rPr>
          <w:b/>
          <w:i/>
          <w:sz w:val="32"/>
          <w:szCs w:val="32"/>
        </w:rPr>
        <w:t>Lettre ouverte</w:t>
      </w:r>
    </w:p>
    <w:p w:rsidR="002D75E3" w:rsidRDefault="002D75E3" w:rsidP="00BC6E48">
      <w:pPr>
        <w:jc w:val="right"/>
        <w:rPr>
          <w:b/>
          <w:sz w:val="28"/>
          <w:szCs w:val="28"/>
        </w:rPr>
      </w:pPr>
    </w:p>
    <w:p w:rsidR="00CB5712" w:rsidRDefault="00BC6E48" w:rsidP="00BC6E48">
      <w:pPr>
        <w:jc w:val="right"/>
        <w:rPr>
          <w:b/>
          <w:sz w:val="28"/>
          <w:szCs w:val="28"/>
        </w:rPr>
      </w:pPr>
      <w:r w:rsidRPr="00BC6E48">
        <w:rPr>
          <w:b/>
          <w:sz w:val="28"/>
          <w:szCs w:val="28"/>
        </w:rPr>
        <w:t>26 s</w:t>
      </w:r>
      <w:r w:rsidR="00CB5712" w:rsidRPr="00BC6E48">
        <w:rPr>
          <w:b/>
          <w:sz w:val="28"/>
          <w:szCs w:val="28"/>
        </w:rPr>
        <w:t>eptembre 2022</w:t>
      </w:r>
    </w:p>
    <w:p w:rsidR="00200B81" w:rsidRPr="002D75E3" w:rsidRDefault="00BC6E48" w:rsidP="002D75E3">
      <w:pPr>
        <w:jc w:val="both"/>
        <w:rPr>
          <w:b/>
          <w:sz w:val="32"/>
          <w:szCs w:val="32"/>
        </w:rPr>
      </w:pPr>
      <w:r w:rsidRPr="002D75E3">
        <w:rPr>
          <w:b/>
          <w:sz w:val="32"/>
          <w:szCs w:val="32"/>
        </w:rPr>
        <w:t xml:space="preserve">36 organisations de la société civile demandent à la </w:t>
      </w:r>
      <w:r w:rsidR="00627A6B" w:rsidRPr="002D75E3">
        <w:rPr>
          <w:b/>
          <w:sz w:val="32"/>
          <w:szCs w:val="32"/>
        </w:rPr>
        <w:t xml:space="preserve">France </w:t>
      </w:r>
      <w:r w:rsidR="00200B81" w:rsidRPr="002D75E3">
        <w:rPr>
          <w:b/>
          <w:sz w:val="32"/>
          <w:szCs w:val="32"/>
        </w:rPr>
        <w:t>d’appuyer la requête de la Gambie contre la Birmanie devant la Cour Internationale de Justice</w:t>
      </w:r>
    </w:p>
    <w:p w:rsidR="00447664" w:rsidRPr="00BC6E48" w:rsidRDefault="00447664" w:rsidP="00130F1A">
      <w:pPr>
        <w:jc w:val="both"/>
        <w:rPr>
          <w:sz w:val="24"/>
          <w:szCs w:val="24"/>
        </w:rPr>
      </w:pPr>
      <w:r w:rsidRPr="00BC6E48">
        <w:rPr>
          <w:sz w:val="24"/>
          <w:szCs w:val="24"/>
        </w:rPr>
        <w:t xml:space="preserve">Le 25 août 2022, nous avons commémoré le Jour du Souvenir pour les </w:t>
      </w:r>
      <w:proofErr w:type="spellStart"/>
      <w:r w:rsidRPr="00BC6E48">
        <w:rPr>
          <w:sz w:val="24"/>
          <w:szCs w:val="24"/>
        </w:rPr>
        <w:t>Rohingya</w:t>
      </w:r>
      <w:proofErr w:type="spellEnd"/>
      <w:r w:rsidRPr="00BC6E48">
        <w:rPr>
          <w:sz w:val="24"/>
          <w:szCs w:val="24"/>
        </w:rPr>
        <w:t>, si terriblement éprouvés par la violence d’</w:t>
      </w:r>
      <w:proofErr w:type="spellStart"/>
      <w:r w:rsidRPr="00BC6E48">
        <w:rPr>
          <w:sz w:val="24"/>
          <w:szCs w:val="24"/>
        </w:rPr>
        <w:t>Etat</w:t>
      </w:r>
      <w:proofErr w:type="spellEnd"/>
      <w:r w:rsidRPr="00BC6E48">
        <w:rPr>
          <w:sz w:val="24"/>
          <w:szCs w:val="24"/>
        </w:rPr>
        <w:t xml:space="preserve"> en Birmanie. </w:t>
      </w:r>
      <w:r w:rsidR="00C835E1" w:rsidRPr="00BC6E48">
        <w:rPr>
          <w:sz w:val="24"/>
          <w:szCs w:val="24"/>
        </w:rPr>
        <w:t>Cin</w:t>
      </w:r>
      <w:r w:rsidRPr="00BC6E48">
        <w:rPr>
          <w:sz w:val="24"/>
          <w:szCs w:val="24"/>
        </w:rPr>
        <w:t xml:space="preserve">q ans après l’exode de près de plus de 700 000 d’entre eux au Bangladesh, </w:t>
      </w:r>
      <w:r w:rsidRPr="00BC6E48">
        <w:rPr>
          <w:i/>
          <w:sz w:val="24"/>
          <w:szCs w:val="24"/>
        </w:rPr>
        <w:t>« personne n’a été tenu de rendre des co</w:t>
      </w:r>
      <w:r w:rsidR="002B3B3B" w:rsidRPr="00BC6E48">
        <w:rPr>
          <w:i/>
          <w:sz w:val="24"/>
          <w:szCs w:val="24"/>
        </w:rPr>
        <w:t>mptes pour les crimes contre l’h</w:t>
      </w:r>
      <w:r w:rsidRPr="00BC6E48">
        <w:rPr>
          <w:i/>
          <w:sz w:val="24"/>
          <w:szCs w:val="24"/>
        </w:rPr>
        <w:t xml:space="preserve">umanité et actes de génocide commis contre la population </w:t>
      </w:r>
      <w:proofErr w:type="spellStart"/>
      <w:r w:rsidRPr="00BC6E48">
        <w:rPr>
          <w:i/>
          <w:sz w:val="24"/>
          <w:szCs w:val="24"/>
        </w:rPr>
        <w:t>Rohingya</w:t>
      </w:r>
      <w:proofErr w:type="spellEnd"/>
      <w:r w:rsidRPr="00BC6E48">
        <w:rPr>
          <w:i/>
          <w:sz w:val="24"/>
          <w:szCs w:val="24"/>
        </w:rPr>
        <w:t> »</w:t>
      </w:r>
      <w:r w:rsidRPr="00BC6E48">
        <w:rPr>
          <w:rStyle w:val="Appelnotedebasdep"/>
          <w:i/>
          <w:sz w:val="24"/>
          <w:szCs w:val="24"/>
        </w:rPr>
        <w:footnoteReference w:id="1"/>
      </w:r>
      <w:r w:rsidRPr="00BC6E48">
        <w:rPr>
          <w:i/>
          <w:sz w:val="24"/>
          <w:szCs w:val="24"/>
        </w:rPr>
        <w:t>.</w:t>
      </w:r>
      <w:r w:rsidRPr="00BC6E48">
        <w:rPr>
          <w:sz w:val="24"/>
          <w:szCs w:val="24"/>
        </w:rPr>
        <w:t xml:space="preserve"> </w:t>
      </w:r>
    </w:p>
    <w:p w:rsidR="00294065" w:rsidRPr="00BC6E48" w:rsidRDefault="00B075C5" w:rsidP="00130F1A">
      <w:pPr>
        <w:jc w:val="both"/>
        <w:rPr>
          <w:sz w:val="24"/>
          <w:szCs w:val="24"/>
        </w:rPr>
      </w:pPr>
      <w:r w:rsidRPr="00BC6E48">
        <w:rPr>
          <w:sz w:val="24"/>
          <w:szCs w:val="24"/>
        </w:rPr>
        <w:t>Depuis le coup d’</w:t>
      </w:r>
      <w:proofErr w:type="spellStart"/>
      <w:r w:rsidRPr="00BC6E48">
        <w:rPr>
          <w:sz w:val="24"/>
          <w:szCs w:val="24"/>
        </w:rPr>
        <w:t>Etat</w:t>
      </w:r>
      <w:proofErr w:type="spellEnd"/>
      <w:r w:rsidRPr="00BC6E48">
        <w:rPr>
          <w:sz w:val="24"/>
          <w:szCs w:val="24"/>
        </w:rPr>
        <w:t xml:space="preserve"> militaire du 1</w:t>
      </w:r>
      <w:r w:rsidRPr="00BC6E48">
        <w:rPr>
          <w:sz w:val="24"/>
          <w:szCs w:val="24"/>
          <w:vertAlign w:val="superscript"/>
        </w:rPr>
        <w:t>er</w:t>
      </w:r>
      <w:r w:rsidRPr="00BC6E48">
        <w:rPr>
          <w:sz w:val="24"/>
          <w:szCs w:val="24"/>
        </w:rPr>
        <w:t xml:space="preserve"> février 2021, </w:t>
      </w:r>
      <w:r w:rsidR="00447664" w:rsidRPr="00BC6E48">
        <w:rPr>
          <w:sz w:val="24"/>
          <w:szCs w:val="24"/>
        </w:rPr>
        <w:t xml:space="preserve">la répression brutale menée par la junte </w:t>
      </w:r>
      <w:r w:rsidRPr="00BC6E48">
        <w:rPr>
          <w:sz w:val="24"/>
          <w:szCs w:val="24"/>
        </w:rPr>
        <w:t xml:space="preserve">s’étend à tout un peuple et se </w:t>
      </w:r>
      <w:r w:rsidR="00447664" w:rsidRPr="00BC6E48">
        <w:rPr>
          <w:sz w:val="24"/>
          <w:szCs w:val="24"/>
        </w:rPr>
        <w:t>caractéris</w:t>
      </w:r>
      <w:r w:rsidRPr="00BC6E48">
        <w:rPr>
          <w:sz w:val="24"/>
          <w:szCs w:val="24"/>
        </w:rPr>
        <w:t xml:space="preserve">e </w:t>
      </w:r>
      <w:r w:rsidR="00447664" w:rsidRPr="00BC6E48">
        <w:rPr>
          <w:sz w:val="24"/>
          <w:szCs w:val="24"/>
        </w:rPr>
        <w:t>par la</w:t>
      </w:r>
      <w:r w:rsidR="00081BEB" w:rsidRPr="00BC6E48">
        <w:rPr>
          <w:sz w:val="24"/>
          <w:szCs w:val="24"/>
        </w:rPr>
        <w:t xml:space="preserve"> c</w:t>
      </w:r>
      <w:r w:rsidR="002B3B3B" w:rsidRPr="00BC6E48">
        <w:rPr>
          <w:sz w:val="24"/>
          <w:szCs w:val="24"/>
        </w:rPr>
        <w:t>ommission de crimes contre l’h</w:t>
      </w:r>
      <w:r w:rsidR="00447664" w:rsidRPr="00BC6E48">
        <w:rPr>
          <w:sz w:val="24"/>
          <w:szCs w:val="24"/>
        </w:rPr>
        <w:t>umanité et de crimes de guerre. La barbarie des militaires birmans, qui semble sans limite, se nourrit de décennies d’impunité et de l’inaction du monde pour y mettre un terme. Plus que jamais, les gouvernements doivent explorer toutes les voies possibles pour que justice soit rendue et que les responsables des atrocités commises par l’armée birmane aient à répondre de leurs actes.</w:t>
      </w:r>
      <w:r w:rsidR="00294065" w:rsidRPr="00BC6E48">
        <w:rPr>
          <w:sz w:val="24"/>
          <w:szCs w:val="24"/>
        </w:rPr>
        <w:t xml:space="preserve"> </w:t>
      </w:r>
    </w:p>
    <w:p w:rsidR="00294065" w:rsidRPr="00BC6E48" w:rsidRDefault="00294065" w:rsidP="00130F1A">
      <w:pPr>
        <w:jc w:val="both"/>
        <w:rPr>
          <w:b/>
          <w:sz w:val="24"/>
          <w:szCs w:val="24"/>
        </w:rPr>
      </w:pPr>
      <w:r w:rsidRPr="00BC6E48">
        <w:rPr>
          <w:b/>
          <w:sz w:val="24"/>
          <w:szCs w:val="24"/>
        </w:rPr>
        <w:t xml:space="preserve">Par la présente lettre, </w:t>
      </w:r>
      <w:r w:rsidR="002B3B3B" w:rsidRPr="00BC6E48">
        <w:rPr>
          <w:b/>
          <w:sz w:val="24"/>
          <w:szCs w:val="24"/>
        </w:rPr>
        <w:t xml:space="preserve">nous </w:t>
      </w:r>
      <w:r w:rsidRPr="00BC6E48">
        <w:rPr>
          <w:b/>
          <w:sz w:val="24"/>
          <w:szCs w:val="24"/>
        </w:rPr>
        <w:t>demandons à la France d’appuyer formellement la requête</w:t>
      </w:r>
      <w:r w:rsidR="002B3B3B" w:rsidRPr="00BC6E48">
        <w:rPr>
          <w:b/>
          <w:sz w:val="24"/>
          <w:szCs w:val="24"/>
        </w:rPr>
        <w:t xml:space="preserve"> de la </w:t>
      </w:r>
      <w:r w:rsidRPr="00BC6E48">
        <w:rPr>
          <w:b/>
          <w:sz w:val="24"/>
          <w:szCs w:val="24"/>
        </w:rPr>
        <w:t>Gambie contre la Birmanie</w:t>
      </w:r>
      <w:r w:rsidR="002B3B3B" w:rsidRPr="00BC6E48">
        <w:rPr>
          <w:b/>
          <w:sz w:val="24"/>
          <w:szCs w:val="24"/>
        </w:rPr>
        <w:t xml:space="preserve">, initiée </w:t>
      </w:r>
      <w:r w:rsidRPr="00BC6E48">
        <w:rPr>
          <w:b/>
          <w:sz w:val="24"/>
          <w:szCs w:val="24"/>
        </w:rPr>
        <w:t>en novembre 2019 devant la Cour Internationale de Justice (CIJ)</w:t>
      </w:r>
      <w:r w:rsidR="002B3B3B" w:rsidRPr="00BC6E48">
        <w:rPr>
          <w:b/>
          <w:sz w:val="24"/>
          <w:szCs w:val="24"/>
        </w:rPr>
        <w:t xml:space="preserve"> pour violation de la Convention sur le génocide. </w:t>
      </w:r>
      <w:r w:rsidRPr="00BC6E48">
        <w:rPr>
          <w:b/>
          <w:sz w:val="24"/>
          <w:szCs w:val="24"/>
        </w:rPr>
        <w:t xml:space="preserve">La France, qui se targue d’être la patrie des droits </w:t>
      </w:r>
      <w:r w:rsidR="00255EA9" w:rsidRPr="00BC6E48">
        <w:rPr>
          <w:b/>
          <w:sz w:val="24"/>
          <w:szCs w:val="24"/>
        </w:rPr>
        <w:t xml:space="preserve">humains, </w:t>
      </w:r>
      <w:r w:rsidRPr="00BC6E48">
        <w:rPr>
          <w:b/>
          <w:sz w:val="24"/>
          <w:szCs w:val="24"/>
        </w:rPr>
        <w:t xml:space="preserve">doit s’engager dans cette procédure.  </w:t>
      </w:r>
    </w:p>
    <w:p w:rsidR="00B075C5" w:rsidRDefault="00B075C5" w:rsidP="00130F1A">
      <w:pPr>
        <w:jc w:val="both"/>
        <w:rPr>
          <w:rFonts w:eastAsia="Times New Roman" w:cs="Courier New"/>
          <w:i/>
          <w:sz w:val="24"/>
          <w:szCs w:val="24"/>
          <w:lang w:eastAsia="fr-FR"/>
        </w:rPr>
      </w:pPr>
      <w:r w:rsidRPr="00BC6E48">
        <w:rPr>
          <w:sz w:val="24"/>
          <w:szCs w:val="24"/>
        </w:rPr>
        <w:t xml:space="preserve">Pour </w:t>
      </w:r>
      <w:r w:rsidR="00627A6B" w:rsidRPr="00BC6E48">
        <w:rPr>
          <w:sz w:val="24"/>
          <w:szCs w:val="24"/>
        </w:rPr>
        <w:t xml:space="preserve">marquer les commémorations du 25 août, </w:t>
      </w:r>
      <w:hyperlink r:id="rId9" w:history="1">
        <w:r w:rsidRPr="00BC6E48">
          <w:rPr>
            <w:rStyle w:val="Lienhypertexte"/>
            <w:sz w:val="24"/>
            <w:szCs w:val="24"/>
          </w:rPr>
          <w:t>le Royaume-Uni</w:t>
        </w:r>
      </w:hyperlink>
      <w:r w:rsidRPr="00BC6E48">
        <w:rPr>
          <w:sz w:val="24"/>
          <w:szCs w:val="24"/>
        </w:rPr>
        <w:t xml:space="preserve"> et </w:t>
      </w:r>
      <w:hyperlink r:id="rId10" w:history="1">
        <w:r w:rsidRPr="00BC6E48">
          <w:rPr>
            <w:rStyle w:val="Lienhypertexte"/>
            <w:sz w:val="24"/>
            <w:szCs w:val="24"/>
          </w:rPr>
          <w:t>l’Allemagne</w:t>
        </w:r>
      </w:hyperlink>
      <w:r w:rsidRPr="00BC6E48">
        <w:rPr>
          <w:sz w:val="24"/>
          <w:szCs w:val="24"/>
        </w:rPr>
        <w:t xml:space="preserve"> ont annoncé leur appui à la requête </w:t>
      </w:r>
      <w:r w:rsidR="00627A6B" w:rsidRPr="00BC6E48">
        <w:rPr>
          <w:sz w:val="24"/>
          <w:szCs w:val="24"/>
        </w:rPr>
        <w:t xml:space="preserve">de la </w:t>
      </w:r>
      <w:r w:rsidRPr="00BC6E48">
        <w:rPr>
          <w:sz w:val="24"/>
          <w:szCs w:val="24"/>
        </w:rPr>
        <w:t>Gambie</w:t>
      </w:r>
      <w:r w:rsidR="002B3B3B" w:rsidRPr="00BC6E48">
        <w:rPr>
          <w:sz w:val="24"/>
          <w:szCs w:val="24"/>
        </w:rPr>
        <w:t xml:space="preserve">. </w:t>
      </w:r>
      <w:r w:rsidRPr="00BC6E48">
        <w:rPr>
          <w:sz w:val="24"/>
          <w:szCs w:val="24"/>
        </w:rPr>
        <w:t xml:space="preserve">Dès septembre 2020, le Canada et les Pays-Bas </w:t>
      </w:r>
      <w:r w:rsidR="00081BEB" w:rsidRPr="00BC6E48">
        <w:rPr>
          <w:sz w:val="24"/>
          <w:szCs w:val="24"/>
        </w:rPr>
        <w:t xml:space="preserve">ont </w:t>
      </w:r>
      <w:hyperlink r:id="rId11" w:tgtFrame="_blank" w:history="1">
        <w:r w:rsidRPr="00BC6E48">
          <w:rPr>
            <w:rStyle w:val="Lienhypertexte"/>
            <w:sz w:val="24"/>
            <w:szCs w:val="24"/>
          </w:rPr>
          <w:t>déclaré publiquement</w:t>
        </w:r>
      </w:hyperlink>
      <w:r w:rsidRPr="00BC6E48">
        <w:rPr>
          <w:sz w:val="24"/>
          <w:szCs w:val="24"/>
        </w:rPr>
        <w:t xml:space="preserve"> leur intention de soutenir cette procédure, en soulignant que </w:t>
      </w:r>
      <w:r w:rsidRPr="00BC6E48">
        <w:rPr>
          <w:i/>
          <w:sz w:val="24"/>
          <w:szCs w:val="24"/>
        </w:rPr>
        <w:t xml:space="preserve">« </w:t>
      </w:r>
      <w:r w:rsidR="00081BEB" w:rsidRPr="00BC6E48">
        <w:rPr>
          <w:i/>
          <w:sz w:val="24"/>
          <w:szCs w:val="24"/>
        </w:rPr>
        <w:t xml:space="preserve">la </w:t>
      </w:r>
      <w:r w:rsidRPr="00BC6E48">
        <w:rPr>
          <w:rFonts w:eastAsia="Times New Roman" w:cs="Courier New"/>
          <w:i/>
          <w:sz w:val="24"/>
          <w:szCs w:val="24"/>
          <w:lang w:eastAsia="fr-FR"/>
        </w:rPr>
        <w:t>Convention sur le génocide incarne l'engagement solennel de prévenir le crime de génocide et de demander des comptes aux responsables. En présentant cette requête à la CIJ, la Gambie a fait un pas louable vers la fin de l'impunité pour ceux qui commettent des atrocités en Birmanie et pour assurer le respect de cet engagement</w:t>
      </w:r>
      <w:r w:rsidRPr="00BC6E48">
        <w:rPr>
          <w:i/>
          <w:sz w:val="24"/>
          <w:szCs w:val="24"/>
        </w:rPr>
        <w:t>»</w:t>
      </w:r>
      <w:r w:rsidRPr="00BC6E48">
        <w:rPr>
          <w:rFonts w:eastAsia="Times New Roman" w:cs="Courier New"/>
          <w:i/>
          <w:sz w:val="24"/>
          <w:szCs w:val="24"/>
          <w:lang w:eastAsia="fr-FR"/>
        </w:rPr>
        <w:t xml:space="preserve">. </w:t>
      </w:r>
      <w:r w:rsidR="00081BEB" w:rsidRPr="00BC6E48">
        <w:rPr>
          <w:rFonts w:eastAsia="Times New Roman" w:cs="Courier New"/>
          <w:sz w:val="24"/>
          <w:szCs w:val="24"/>
          <w:lang w:eastAsia="fr-FR"/>
        </w:rPr>
        <w:t xml:space="preserve">Le Canada et Les Pays-Bas avaient ajouté </w:t>
      </w:r>
      <w:r w:rsidRPr="00BC6E48">
        <w:rPr>
          <w:rFonts w:eastAsia="Times New Roman" w:cs="Courier New"/>
          <w:sz w:val="24"/>
          <w:szCs w:val="24"/>
          <w:lang w:eastAsia="fr-FR"/>
        </w:rPr>
        <w:t>qu'il était</w:t>
      </w:r>
      <w:r w:rsidRPr="00BC6E48">
        <w:rPr>
          <w:rFonts w:eastAsia="Times New Roman" w:cs="Courier New"/>
          <w:i/>
          <w:sz w:val="24"/>
          <w:szCs w:val="24"/>
          <w:lang w:eastAsia="fr-FR"/>
        </w:rPr>
        <w:t xml:space="preserve"> </w:t>
      </w:r>
      <w:r w:rsidRPr="00BC6E48">
        <w:rPr>
          <w:i/>
          <w:sz w:val="24"/>
          <w:szCs w:val="24"/>
        </w:rPr>
        <w:t>«</w:t>
      </w:r>
      <w:r w:rsidRPr="00BC6E48">
        <w:rPr>
          <w:rFonts w:eastAsia="Times New Roman" w:cs="Courier New"/>
          <w:i/>
          <w:sz w:val="24"/>
          <w:szCs w:val="24"/>
          <w:lang w:eastAsia="fr-FR"/>
        </w:rPr>
        <w:t xml:space="preserve">de leur devoir d'appuyer ces efforts </w:t>
      </w:r>
      <w:r w:rsidR="002B3B3B" w:rsidRPr="00BC6E48">
        <w:rPr>
          <w:rFonts w:eastAsia="Times New Roman" w:cs="Courier New"/>
          <w:i/>
          <w:sz w:val="24"/>
          <w:szCs w:val="24"/>
          <w:lang w:eastAsia="fr-FR"/>
        </w:rPr>
        <w:t>qui concernent l'ensemble de l'h</w:t>
      </w:r>
      <w:r w:rsidRPr="00BC6E48">
        <w:rPr>
          <w:rFonts w:eastAsia="Times New Roman" w:cs="Courier New"/>
          <w:i/>
          <w:sz w:val="24"/>
          <w:szCs w:val="24"/>
          <w:lang w:eastAsia="fr-FR"/>
        </w:rPr>
        <w:t>umanité</w:t>
      </w:r>
      <w:r w:rsidRPr="00BC6E48">
        <w:rPr>
          <w:i/>
          <w:sz w:val="24"/>
          <w:szCs w:val="24"/>
        </w:rPr>
        <w:t>»</w:t>
      </w:r>
      <w:r w:rsidRPr="00BC6E48">
        <w:rPr>
          <w:rFonts w:eastAsia="Times New Roman" w:cs="Courier New"/>
          <w:i/>
          <w:sz w:val="24"/>
          <w:szCs w:val="24"/>
          <w:lang w:eastAsia="fr-FR"/>
        </w:rPr>
        <w:t>.</w:t>
      </w:r>
    </w:p>
    <w:p w:rsidR="002D75E3" w:rsidRPr="002D75E3" w:rsidRDefault="00EF6756" w:rsidP="00EF6756">
      <w:pPr>
        <w:jc w:val="both"/>
        <w:rPr>
          <w:rStyle w:val="markedcontent"/>
          <w:b/>
          <w:sz w:val="24"/>
          <w:szCs w:val="24"/>
        </w:rPr>
      </w:pPr>
      <w:r w:rsidRPr="00BC6E48">
        <w:rPr>
          <w:rStyle w:val="markedcontent"/>
          <w:b/>
          <w:sz w:val="24"/>
          <w:szCs w:val="24"/>
        </w:rPr>
        <w:t xml:space="preserve">Nous estimons qu’il est aujourd’hui du devoir de la </w:t>
      </w:r>
      <w:r w:rsidRPr="00BC6E48">
        <w:rPr>
          <w:b/>
          <w:sz w:val="24"/>
          <w:szCs w:val="24"/>
        </w:rPr>
        <w:t xml:space="preserve">France d’appuyer ces efforts, dans le cadre d’une procédure marquée par des avancées attendues. </w:t>
      </w:r>
      <w:r w:rsidR="00130F1A" w:rsidRPr="00BC6E48">
        <w:rPr>
          <w:sz w:val="24"/>
          <w:szCs w:val="24"/>
        </w:rPr>
        <w:t xml:space="preserve">Dans un </w:t>
      </w:r>
      <w:hyperlink r:id="rId12" w:history="1">
        <w:r w:rsidR="00130F1A" w:rsidRPr="00BC6E48">
          <w:rPr>
            <w:rStyle w:val="Lienhypertexte"/>
            <w:sz w:val="24"/>
            <w:szCs w:val="24"/>
          </w:rPr>
          <w:t>arrêt du 22 juillet 2022</w:t>
        </w:r>
      </w:hyperlink>
      <w:r w:rsidR="00130F1A" w:rsidRPr="00BC6E48">
        <w:rPr>
          <w:sz w:val="24"/>
          <w:szCs w:val="24"/>
        </w:rPr>
        <w:t xml:space="preserve">, la CIJ a rejeté les </w:t>
      </w:r>
      <w:r w:rsidR="00130F1A" w:rsidRPr="00BC6E48">
        <w:rPr>
          <w:sz w:val="24"/>
          <w:szCs w:val="24"/>
        </w:rPr>
        <w:lastRenderedPageBreak/>
        <w:t xml:space="preserve">exceptions préliminaires de la Birmanie et conclu </w:t>
      </w:r>
      <w:r w:rsidR="00130F1A" w:rsidRPr="00BC6E48">
        <w:rPr>
          <w:rStyle w:val="markedcontent"/>
          <w:sz w:val="24"/>
          <w:szCs w:val="24"/>
        </w:rPr>
        <w:t xml:space="preserve">que la Gambie avait qualité, en tant qu’État partie à la Convention sur le génocide, pour invoquer la responsabilité de la Birmanie.  </w:t>
      </w:r>
    </w:p>
    <w:p w:rsidR="00EF6756" w:rsidRPr="00BC6E48" w:rsidRDefault="00EF6756" w:rsidP="00EF6756">
      <w:pPr>
        <w:jc w:val="both"/>
        <w:rPr>
          <w:b/>
          <w:sz w:val="24"/>
          <w:szCs w:val="24"/>
        </w:rPr>
      </w:pPr>
      <w:r w:rsidRPr="00BC6E48">
        <w:rPr>
          <w:rStyle w:val="markedcontent"/>
          <w:b/>
          <w:sz w:val="24"/>
          <w:szCs w:val="24"/>
        </w:rPr>
        <w:t>L</w:t>
      </w:r>
      <w:r w:rsidRPr="00BC6E48">
        <w:rPr>
          <w:b/>
          <w:sz w:val="24"/>
          <w:szCs w:val="24"/>
        </w:rPr>
        <w:t xml:space="preserve">’initiative de la France, menée au nom de la justice et de la lutte contre l’impunité en Birmanie, sera saluée comme une étape marquante dans la quête de justice du peuple birman dans son ensemble. </w:t>
      </w:r>
    </w:p>
    <w:p w:rsidR="00BC6E48" w:rsidRPr="00BC6E48" w:rsidRDefault="00BC6E48" w:rsidP="00BC6E48">
      <w:pPr>
        <w:jc w:val="both"/>
        <w:rPr>
          <w:rStyle w:val="q4iawc"/>
          <w:b/>
          <w:sz w:val="24"/>
          <w:szCs w:val="24"/>
          <w:lang w:val="en"/>
        </w:rPr>
      </w:pPr>
      <w:r w:rsidRPr="00BC6E48">
        <w:rPr>
          <w:rStyle w:val="q4iawc"/>
          <w:b/>
          <w:sz w:val="24"/>
          <w:szCs w:val="24"/>
          <w:lang w:val="en"/>
        </w:rPr>
        <w:t xml:space="preserve">Contact: </w:t>
      </w:r>
      <w:r w:rsidRPr="00BC6E48">
        <w:rPr>
          <w:rStyle w:val="q4iawc"/>
          <w:b/>
          <w:sz w:val="24"/>
          <w:szCs w:val="24"/>
          <w:lang w:val="en"/>
        </w:rPr>
        <w:t xml:space="preserve"> </w:t>
      </w:r>
    </w:p>
    <w:p w:rsidR="00BC6E48" w:rsidRPr="00BC6E48" w:rsidRDefault="00BC6E48" w:rsidP="00BC6E48">
      <w:pPr>
        <w:pStyle w:val="Paragraphedeliste"/>
        <w:numPr>
          <w:ilvl w:val="0"/>
          <w:numId w:val="1"/>
        </w:numPr>
        <w:jc w:val="both"/>
        <w:rPr>
          <w:b/>
          <w:sz w:val="24"/>
          <w:szCs w:val="24"/>
          <w:lang w:val="en"/>
        </w:rPr>
      </w:pPr>
      <w:r w:rsidRPr="00BC6E48">
        <w:rPr>
          <w:rStyle w:val="q4iawc"/>
          <w:sz w:val="24"/>
          <w:szCs w:val="24"/>
          <w:lang w:val="en"/>
        </w:rPr>
        <w:t xml:space="preserve">Sophie </w:t>
      </w:r>
      <w:proofErr w:type="spellStart"/>
      <w:r w:rsidRPr="00BC6E48">
        <w:rPr>
          <w:rStyle w:val="q4iawc"/>
          <w:sz w:val="24"/>
          <w:szCs w:val="24"/>
          <w:lang w:val="en"/>
        </w:rPr>
        <w:t>Brondel</w:t>
      </w:r>
      <w:proofErr w:type="spellEnd"/>
      <w:r w:rsidRPr="00BC6E48">
        <w:rPr>
          <w:rStyle w:val="q4iawc"/>
          <w:sz w:val="24"/>
          <w:szCs w:val="24"/>
          <w:lang w:val="en"/>
        </w:rPr>
        <w:t xml:space="preserve">, Info </w:t>
      </w:r>
      <w:proofErr w:type="spellStart"/>
      <w:r w:rsidRPr="00BC6E48">
        <w:rPr>
          <w:rStyle w:val="q4iawc"/>
          <w:sz w:val="24"/>
          <w:szCs w:val="24"/>
          <w:lang w:val="en"/>
        </w:rPr>
        <w:t>Birmanie</w:t>
      </w:r>
      <w:proofErr w:type="spellEnd"/>
      <w:r w:rsidRPr="00BC6E48">
        <w:rPr>
          <w:rStyle w:val="q4iawc"/>
          <w:sz w:val="24"/>
          <w:szCs w:val="24"/>
          <w:lang w:val="en"/>
        </w:rPr>
        <w:t xml:space="preserve">, </w:t>
      </w:r>
      <w:hyperlink r:id="rId13" w:history="1">
        <w:r w:rsidRPr="00BC6E48">
          <w:rPr>
            <w:rStyle w:val="Lienhypertexte"/>
            <w:sz w:val="24"/>
            <w:szCs w:val="24"/>
            <w:lang w:val="en"/>
          </w:rPr>
          <w:t>sophie@info-birmanie.org</w:t>
        </w:r>
      </w:hyperlink>
      <w:r w:rsidRPr="00BC6E48">
        <w:rPr>
          <w:rStyle w:val="q4iawc"/>
          <w:sz w:val="24"/>
          <w:szCs w:val="24"/>
          <w:lang w:val="en"/>
        </w:rPr>
        <w:t xml:space="preserve"> </w:t>
      </w:r>
      <w:r w:rsidRPr="00BC6E48">
        <w:rPr>
          <w:sz w:val="24"/>
          <w:szCs w:val="24"/>
        </w:rPr>
        <w:t>+ 33 07 62 80 61 33</w:t>
      </w:r>
    </w:p>
    <w:p w:rsidR="00BC6E48" w:rsidRPr="00BC6E48" w:rsidRDefault="00BC6E48" w:rsidP="00BC6E48">
      <w:pPr>
        <w:jc w:val="both"/>
        <w:rPr>
          <w:rStyle w:val="q4iawc"/>
          <w:b/>
          <w:sz w:val="24"/>
          <w:szCs w:val="24"/>
          <w:lang w:val="en"/>
        </w:rPr>
      </w:pPr>
      <w:proofErr w:type="spellStart"/>
      <w:r w:rsidRPr="00BC6E48">
        <w:rPr>
          <w:rStyle w:val="q4iawc"/>
          <w:b/>
          <w:sz w:val="24"/>
          <w:szCs w:val="24"/>
          <w:lang w:val="en"/>
        </w:rPr>
        <w:t>Organisati</w:t>
      </w:r>
      <w:bookmarkStart w:id="0" w:name="_GoBack"/>
      <w:bookmarkEnd w:id="0"/>
      <w:r w:rsidRPr="00BC6E48">
        <w:rPr>
          <w:rStyle w:val="q4iawc"/>
          <w:b/>
          <w:sz w:val="24"/>
          <w:szCs w:val="24"/>
          <w:lang w:val="en"/>
        </w:rPr>
        <w:t>ons</w:t>
      </w:r>
      <w:proofErr w:type="spellEnd"/>
      <w:r w:rsidRPr="00BC6E48">
        <w:rPr>
          <w:rStyle w:val="q4iawc"/>
          <w:b/>
          <w:sz w:val="24"/>
          <w:szCs w:val="24"/>
          <w:lang w:val="en"/>
        </w:rPr>
        <w:t xml:space="preserve"> </w:t>
      </w:r>
      <w:proofErr w:type="spellStart"/>
      <w:r w:rsidRPr="00BC6E48">
        <w:rPr>
          <w:rStyle w:val="q4iawc"/>
          <w:b/>
          <w:sz w:val="24"/>
          <w:szCs w:val="24"/>
          <w:lang w:val="en"/>
        </w:rPr>
        <w:t>signataires</w:t>
      </w:r>
      <w:proofErr w:type="spellEnd"/>
      <w:r w:rsidRPr="00BC6E48">
        <w:rPr>
          <w:rStyle w:val="q4iawc"/>
          <w:b/>
          <w:sz w:val="24"/>
          <w:szCs w:val="24"/>
          <w:lang w:val="en"/>
        </w:rPr>
        <w:t xml:space="preserve">: </w:t>
      </w:r>
      <w:r w:rsidRPr="00BC6E48">
        <w:rPr>
          <w:rStyle w:val="q4iawc"/>
          <w:b/>
          <w:sz w:val="24"/>
          <w:szCs w:val="24"/>
          <w:lang w:val="en"/>
        </w:rPr>
        <w:t xml:space="preserve"> </w:t>
      </w:r>
    </w:p>
    <w:p w:rsidR="00BC6E48" w:rsidRPr="00BC6E48" w:rsidRDefault="00BC6E48" w:rsidP="00BC6E48">
      <w:pPr>
        <w:pStyle w:val="Paragraphedeliste"/>
        <w:numPr>
          <w:ilvl w:val="0"/>
          <w:numId w:val="2"/>
        </w:numPr>
        <w:jc w:val="both"/>
        <w:rPr>
          <w:rStyle w:val="q4iawc"/>
          <w:b/>
          <w:sz w:val="24"/>
          <w:szCs w:val="24"/>
          <w:lang w:val="en"/>
        </w:rPr>
      </w:pPr>
      <w:r w:rsidRPr="00BC6E48">
        <w:rPr>
          <w:rStyle w:val="q4iawc"/>
          <w:b/>
          <w:sz w:val="24"/>
          <w:szCs w:val="24"/>
          <w:lang w:val="en"/>
        </w:rPr>
        <w:t>Action Against Myanmar Military Coup (Sydney)</w:t>
      </w:r>
    </w:p>
    <w:p w:rsidR="00BC6E48" w:rsidRPr="00BC6E48" w:rsidRDefault="00BC6E48" w:rsidP="00BC6E48">
      <w:pPr>
        <w:pStyle w:val="Paragraphedeliste"/>
        <w:numPr>
          <w:ilvl w:val="0"/>
          <w:numId w:val="2"/>
        </w:numPr>
        <w:spacing w:after="0" w:line="240" w:lineRule="auto"/>
        <w:rPr>
          <w:rFonts w:eastAsia="Times New Roman" w:cs="Times New Roman"/>
          <w:b/>
          <w:sz w:val="24"/>
          <w:szCs w:val="24"/>
          <w:lang w:eastAsia="fr-FR"/>
        </w:rPr>
      </w:pPr>
      <w:r w:rsidRPr="00BC6E48">
        <w:rPr>
          <w:rFonts w:eastAsia="Times New Roman" w:cs="Times New Roman"/>
          <w:b/>
          <w:sz w:val="24"/>
          <w:szCs w:val="24"/>
          <w:lang w:eastAsia="fr-FR"/>
        </w:rPr>
        <w:t xml:space="preserve">Ah </w:t>
      </w:r>
      <w:proofErr w:type="spellStart"/>
      <w:r w:rsidRPr="00BC6E48">
        <w:rPr>
          <w:rFonts w:eastAsia="Times New Roman" w:cs="Times New Roman"/>
          <w:b/>
          <w:sz w:val="24"/>
          <w:szCs w:val="24"/>
          <w:lang w:eastAsia="fr-FR"/>
        </w:rPr>
        <w:t>Nah</w:t>
      </w:r>
      <w:proofErr w:type="spellEnd"/>
      <w:r w:rsidRPr="00BC6E48">
        <w:rPr>
          <w:rFonts w:eastAsia="Times New Roman" w:cs="Times New Roman"/>
          <w:b/>
          <w:sz w:val="24"/>
          <w:szCs w:val="24"/>
          <w:lang w:eastAsia="fr-FR"/>
        </w:rPr>
        <w:t xml:space="preserve"> </w:t>
      </w:r>
      <w:proofErr w:type="spellStart"/>
      <w:r w:rsidRPr="00BC6E48">
        <w:rPr>
          <w:rFonts w:eastAsia="Times New Roman" w:cs="Times New Roman"/>
          <w:b/>
          <w:sz w:val="24"/>
          <w:szCs w:val="24"/>
          <w:lang w:eastAsia="fr-FR"/>
        </w:rPr>
        <w:t>Podcast</w:t>
      </w:r>
      <w:proofErr w:type="spellEnd"/>
      <w:r w:rsidRPr="00BC6E48">
        <w:rPr>
          <w:rFonts w:eastAsia="Times New Roman" w:cs="Times New Roman"/>
          <w:b/>
          <w:sz w:val="24"/>
          <w:szCs w:val="24"/>
          <w:lang w:eastAsia="fr-FR"/>
        </w:rPr>
        <w:t xml:space="preserve"> - Conversation </w:t>
      </w:r>
      <w:proofErr w:type="spellStart"/>
      <w:r w:rsidRPr="00BC6E48">
        <w:rPr>
          <w:rFonts w:eastAsia="Times New Roman" w:cs="Times New Roman"/>
          <w:b/>
          <w:sz w:val="24"/>
          <w:szCs w:val="24"/>
          <w:lang w:eastAsia="fr-FR"/>
        </w:rPr>
        <w:t>with</w:t>
      </w:r>
      <w:proofErr w:type="spellEnd"/>
      <w:r w:rsidRPr="00BC6E48">
        <w:rPr>
          <w:rFonts w:eastAsia="Times New Roman" w:cs="Times New Roman"/>
          <w:b/>
          <w:sz w:val="24"/>
          <w:szCs w:val="24"/>
          <w:lang w:eastAsia="fr-FR"/>
        </w:rPr>
        <w:t xml:space="preserve"> Myanmar</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r w:rsidRPr="00BC6E48">
        <w:rPr>
          <w:rFonts w:eastAsia="Times New Roman" w:cs="Times New Roman"/>
          <w:b/>
          <w:sz w:val="24"/>
          <w:szCs w:val="24"/>
          <w:lang w:eastAsia="fr-FR"/>
        </w:rPr>
        <w:t xml:space="preserve">ALTSEAN </w:t>
      </w:r>
      <w:proofErr w:type="spellStart"/>
      <w:r w:rsidRPr="00BC6E48">
        <w:rPr>
          <w:rFonts w:eastAsia="Times New Roman" w:cs="Times New Roman"/>
          <w:b/>
          <w:sz w:val="24"/>
          <w:szCs w:val="24"/>
          <w:lang w:eastAsia="fr-FR"/>
        </w:rPr>
        <w:t>Burma</w:t>
      </w:r>
      <w:proofErr w:type="spellEnd"/>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r w:rsidRPr="00BC6E48">
        <w:rPr>
          <w:rStyle w:val="q4iawc"/>
          <w:b/>
          <w:sz w:val="24"/>
          <w:szCs w:val="24"/>
          <w:lang w:val="en"/>
        </w:rPr>
        <w:t xml:space="preserve">Association Suisse </w:t>
      </w:r>
      <w:proofErr w:type="spellStart"/>
      <w:r w:rsidRPr="00BC6E48">
        <w:rPr>
          <w:rStyle w:val="q4iawc"/>
          <w:b/>
          <w:sz w:val="24"/>
          <w:szCs w:val="24"/>
          <w:lang w:val="en"/>
        </w:rPr>
        <w:t>Birmanie</w:t>
      </w:r>
      <w:proofErr w:type="spellEnd"/>
      <w:r w:rsidRPr="00BC6E48">
        <w:rPr>
          <w:rStyle w:val="q4iawc"/>
          <w:b/>
          <w:sz w:val="24"/>
          <w:szCs w:val="24"/>
          <w:lang w:val="en"/>
        </w:rPr>
        <w:t xml:space="preserve"> (ASB)</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proofErr w:type="spellStart"/>
      <w:r w:rsidRPr="00BC6E48">
        <w:rPr>
          <w:rFonts w:eastAsia="Times New Roman" w:cs="Times New Roman"/>
          <w:b/>
          <w:sz w:val="24"/>
          <w:szCs w:val="24"/>
          <w:lang w:eastAsia="fr-FR"/>
        </w:rPr>
        <w:t>Beyond</w:t>
      </w:r>
      <w:proofErr w:type="spellEnd"/>
      <w:r w:rsidRPr="00BC6E48">
        <w:rPr>
          <w:rFonts w:eastAsia="Times New Roman" w:cs="Times New Roman"/>
          <w:b/>
          <w:sz w:val="24"/>
          <w:szCs w:val="24"/>
          <w:lang w:eastAsia="fr-FR"/>
        </w:rPr>
        <w:t xml:space="preserve"> </w:t>
      </w:r>
      <w:proofErr w:type="spellStart"/>
      <w:r w:rsidRPr="00BC6E48">
        <w:rPr>
          <w:rFonts w:eastAsia="Times New Roman" w:cs="Times New Roman"/>
          <w:b/>
          <w:sz w:val="24"/>
          <w:szCs w:val="24"/>
          <w:lang w:eastAsia="fr-FR"/>
        </w:rPr>
        <w:t>Borders</w:t>
      </w:r>
      <w:proofErr w:type="spellEnd"/>
      <w:r w:rsidRPr="00BC6E48">
        <w:rPr>
          <w:rFonts w:eastAsia="Times New Roman" w:cs="Times New Roman"/>
          <w:b/>
          <w:sz w:val="24"/>
          <w:szCs w:val="24"/>
          <w:lang w:eastAsia="fr-FR"/>
        </w:rPr>
        <w:t xml:space="preserve"> Malaysia</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proofErr w:type="spellStart"/>
      <w:r w:rsidRPr="00BC6E48">
        <w:rPr>
          <w:rFonts w:eastAsia="Times New Roman" w:cs="Times New Roman"/>
          <w:b/>
          <w:sz w:val="24"/>
          <w:szCs w:val="24"/>
          <w:lang w:eastAsia="fr-FR"/>
        </w:rPr>
        <w:t>Burma</w:t>
      </w:r>
      <w:proofErr w:type="spellEnd"/>
      <w:r w:rsidRPr="00BC6E48">
        <w:rPr>
          <w:rFonts w:eastAsia="Times New Roman" w:cs="Times New Roman"/>
          <w:b/>
          <w:sz w:val="24"/>
          <w:szCs w:val="24"/>
          <w:lang w:eastAsia="fr-FR"/>
        </w:rPr>
        <w:t xml:space="preserve"> Action Ireland</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proofErr w:type="spellStart"/>
      <w:r w:rsidRPr="00BC6E48">
        <w:rPr>
          <w:b/>
          <w:sz w:val="24"/>
          <w:szCs w:val="24"/>
        </w:rPr>
        <w:t>Burma</w:t>
      </w:r>
      <w:proofErr w:type="spellEnd"/>
      <w:r w:rsidRPr="00BC6E48">
        <w:rPr>
          <w:b/>
          <w:sz w:val="24"/>
          <w:szCs w:val="24"/>
        </w:rPr>
        <w:t xml:space="preserve"> </w:t>
      </w:r>
      <w:proofErr w:type="spellStart"/>
      <w:r w:rsidRPr="00BC6E48">
        <w:rPr>
          <w:b/>
          <w:sz w:val="24"/>
          <w:szCs w:val="24"/>
        </w:rPr>
        <w:t>Campaign</w:t>
      </w:r>
      <w:proofErr w:type="spellEnd"/>
      <w:r w:rsidRPr="00BC6E48">
        <w:rPr>
          <w:b/>
          <w:sz w:val="24"/>
          <w:szCs w:val="24"/>
        </w:rPr>
        <w:t xml:space="preserve"> UK </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proofErr w:type="spellStart"/>
      <w:r w:rsidRPr="00BC6E48">
        <w:rPr>
          <w:rFonts w:eastAsia="Times New Roman" w:cs="Times New Roman"/>
          <w:b/>
          <w:sz w:val="24"/>
          <w:szCs w:val="24"/>
          <w:lang w:eastAsia="fr-FR"/>
        </w:rPr>
        <w:t>Burma</w:t>
      </w:r>
      <w:proofErr w:type="spellEnd"/>
      <w:r w:rsidRPr="00BC6E48">
        <w:rPr>
          <w:rFonts w:eastAsia="Times New Roman" w:cs="Times New Roman"/>
          <w:b/>
          <w:sz w:val="24"/>
          <w:szCs w:val="24"/>
          <w:lang w:eastAsia="fr-FR"/>
        </w:rPr>
        <w:t xml:space="preserve"> </w:t>
      </w:r>
      <w:proofErr w:type="spellStart"/>
      <w:r w:rsidRPr="00BC6E48">
        <w:rPr>
          <w:rFonts w:eastAsia="Times New Roman" w:cs="Times New Roman"/>
          <w:b/>
          <w:sz w:val="24"/>
          <w:szCs w:val="24"/>
          <w:lang w:eastAsia="fr-FR"/>
        </w:rPr>
        <w:t>Human</w:t>
      </w:r>
      <w:proofErr w:type="spellEnd"/>
      <w:r w:rsidRPr="00BC6E48">
        <w:rPr>
          <w:rFonts w:eastAsia="Times New Roman" w:cs="Times New Roman"/>
          <w:b/>
          <w:sz w:val="24"/>
          <w:szCs w:val="24"/>
          <w:lang w:eastAsia="fr-FR"/>
        </w:rPr>
        <w:t xml:space="preserve"> </w:t>
      </w:r>
      <w:proofErr w:type="spellStart"/>
      <w:r w:rsidRPr="00BC6E48">
        <w:rPr>
          <w:rFonts w:eastAsia="Times New Roman" w:cs="Times New Roman"/>
          <w:b/>
          <w:sz w:val="24"/>
          <w:szCs w:val="24"/>
          <w:lang w:eastAsia="fr-FR"/>
        </w:rPr>
        <w:t>Rights</w:t>
      </w:r>
      <w:proofErr w:type="spellEnd"/>
      <w:r w:rsidRPr="00BC6E48">
        <w:rPr>
          <w:rFonts w:eastAsia="Times New Roman" w:cs="Times New Roman"/>
          <w:b/>
          <w:sz w:val="24"/>
          <w:szCs w:val="24"/>
          <w:lang w:eastAsia="fr-FR"/>
        </w:rPr>
        <w:t xml:space="preserve"> </w:t>
      </w:r>
      <w:proofErr w:type="spellStart"/>
      <w:r w:rsidRPr="00BC6E48">
        <w:rPr>
          <w:rFonts w:eastAsia="Times New Roman" w:cs="Times New Roman"/>
          <w:b/>
          <w:sz w:val="24"/>
          <w:szCs w:val="24"/>
          <w:lang w:eastAsia="fr-FR"/>
        </w:rPr>
        <w:t>Netwok</w:t>
      </w:r>
      <w:proofErr w:type="spellEnd"/>
      <w:r w:rsidRPr="00BC6E48">
        <w:rPr>
          <w:rFonts w:eastAsia="Times New Roman" w:cs="Times New Roman"/>
          <w:b/>
          <w:sz w:val="24"/>
          <w:szCs w:val="24"/>
          <w:lang w:eastAsia="fr-FR"/>
        </w:rPr>
        <w:t xml:space="preserve"> (BHRN)</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proofErr w:type="spellStart"/>
      <w:r w:rsidRPr="00BC6E48">
        <w:rPr>
          <w:b/>
          <w:sz w:val="24"/>
          <w:szCs w:val="24"/>
        </w:rPr>
        <w:t>Burmese</w:t>
      </w:r>
      <w:proofErr w:type="spellEnd"/>
      <w:r w:rsidRPr="00BC6E48">
        <w:rPr>
          <w:b/>
          <w:sz w:val="24"/>
          <w:szCs w:val="24"/>
        </w:rPr>
        <w:t xml:space="preserve"> </w:t>
      </w:r>
      <w:proofErr w:type="spellStart"/>
      <w:r w:rsidRPr="00BC6E48">
        <w:rPr>
          <w:b/>
          <w:sz w:val="24"/>
          <w:szCs w:val="24"/>
        </w:rPr>
        <w:t>Rohingya</w:t>
      </w:r>
      <w:proofErr w:type="spellEnd"/>
      <w:r w:rsidRPr="00BC6E48">
        <w:rPr>
          <w:b/>
          <w:sz w:val="24"/>
          <w:szCs w:val="24"/>
        </w:rPr>
        <w:t xml:space="preserve"> Organisation UK (BROUK)</w:t>
      </w:r>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proofErr w:type="spellStart"/>
      <w:r w:rsidRPr="00BC6E48">
        <w:rPr>
          <w:rStyle w:val="q4iawc"/>
          <w:b/>
          <w:sz w:val="24"/>
          <w:szCs w:val="24"/>
          <w:lang w:val="en"/>
        </w:rPr>
        <w:t>Communauté</w:t>
      </w:r>
      <w:proofErr w:type="spellEnd"/>
      <w:r w:rsidRPr="00BC6E48">
        <w:rPr>
          <w:rStyle w:val="q4iawc"/>
          <w:b/>
          <w:sz w:val="24"/>
          <w:szCs w:val="24"/>
          <w:lang w:val="en"/>
        </w:rPr>
        <w:t xml:space="preserve"> </w:t>
      </w:r>
      <w:proofErr w:type="spellStart"/>
      <w:r w:rsidRPr="00BC6E48">
        <w:rPr>
          <w:rStyle w:val="q4iawc"/>
          <w:b/>
          <w:sz w:val="24"/>
          <w:szCs w:val="24"/>
          <w:lang w:val="en"/>
        </w:rPr>
        <w:t>Birmane</w:t>
      </w:r>
      <w:proofErr w:type="spellEnd"/>
      <w:r w:rsidRPr="00BC6E48">
        <w:rPr>
          <w:rStyle w:val="q4iawc"/>
          <w:b/>
          <w:sz w:val="24"/>
          <w:szCs w:val="24"/>
          <w:lang w:val="en"/>
        </w:rPr>
        <w:t xml:space="preserve"> de France (CBF)</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r w:rsidRPr="00BC6E48">
        <w:rPr>
          <w:rFonts w:eastAsia="Times New Roman" w:cs="Times New Roman"/>
          <w:b/>
          <w:sz w:val="24"/>
          <w:szCs w:val="24"/>
          <w:lang w:eastAsia="fr-FR"/>
        </w:rPr>
        <w:t xml:space="preserve">Christian </w:t>
      </w:r>
      <w:proofErr w:type="spellStart"/>
      <w:r w:rsidRPr="00BC6E48">
        <w:rPr>
          <w:rFonts w:eastAsia="Times New Roman" w:cs="Times New Roman"/>
          <w:b/>
          <w:sz w:val="24"/>
          <w:szCs w:val="24"/>
          <w:lang w:eastAsia="fr-FR"/>
        </w:rPr>
        <w:t>Solidarity</w:t>
      </w:r>
      <w:proofErr w:type="spellEnd"/>
      <w:r w:rsidRPr="00BC6E48">
        <w:rPr>
          <w:rFonts w:eastAsia="Times New Roman" w:cs="Times New Roman"/>
          <w:b/>
          <w:sz w:val="24"/>
          <w:szCs w:val="24"/>
          <w:lang w:eastAsia="fr-FR"/>
        </w:rPr>
        <w:t xml:space="preserve"> </w:t>
      </w:r>
      <w:proofErr w:type="spellStart"/>
      <w:r w:rsidRPr="00BC6E48">
        <w:rPr>
          <w:rFonts w:eastAsia="Times New Roman" w:cs="Times New Roman"/>
          <w:b/>
          <w:sz w:val="24"/>
          <w:szCs w:val="24"/>
          <w:lang w:eastAsia="fr-FR"/>
        </w:rPr>
        <w:t>Worldwide</w:t>
      </w:r>
      <w:proofErr w:type="spellEnd"/>
      <w:r w:rsidRPr="00BC6E48">
        <w:rPr>
          <w:rFonts w:eastAsia="Times New Roman" w:cs="Times New Roman"/>
          <w:b/>
          <w:sz w:val="24"/>
          <w:szCs w:val="24"/>
          <w:lang w:eastAsia="fr-FR"/>
        </w:rPr>
        <w:t xml:space="preserve"> (CSW)</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r w:rsidRPr="00BC6E48">
        <w:rPr>
          <w:rFonts w:eastAsia="Times New Roman" w:cs="Times New Roman"/>
          <w:b/>
          <w:sz w:val="24"/>
          <w:szCs w:val="24"/>
          <w:lang w:eastAsia="fr-FR"/>
        </w:rPr>
        <w:t>CRPH &amp; NUG supporters Ireland</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r w:rsidRPr="00BC6E48">
        <w:rPr>
          <w:rFonts w:eastAsia="Times New Roman" w:cs="Times New Roman"/>
          <w:b/>
          <w:sz w:val="24"/>
          <w:szCs w:val="24"/>
          <w:lang w:eastAsia="fr-FR"/>
        </w:rPr>
        <w:t xml:space="preserve">CRPH </w:t>
      </w:r>
      <w:proofErr w:type="spellStart"/>
      <w:r w:rsidRPr="00BC6E48">
        <w:rPr>
          <w:rFonts w:eastAsia="Times New Roman" w:cs="Times New Roman"/>
          <w:b/>
          <w:sz w:val="24"/>
          <w:szCs w:val="24"/>
          <w:lang w:eastAsia="fr-FR"/>
        </w:rPr>
        <w:t>Funding</w:t>
      </w:r>
      <w:proofErr w:type="spellEnd"/>
      <w:r w:rsidRPr="00BC6E48">
        <w:rPr>
          <w:rFonts w:eastAsia="Times New Roman" w:cs="Times New Roman"/>
          <w:b/>
          <w:sz w:val="24"/>
          <w:szCs w:val="24"/>
          <w:lang w:eastAsia="fr-FR"/>
        </w:rPr>
        <w:t xml:space="preserve"> Ireland</w:t>
      </w:r>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proofErr w:type="spellStart"/>
      <w:r w:rsidRPr="00BC6E48">
        <w:rPr>
          <w:rStyle w:val="q4iawc"/>
          <w:b/>
          <w:sz w:val="24"/>
          <w:szCs w:val="24"/>
          <w:lang w:val="en"/>
        </w:rPr>
        <w:t>Doh</w:t>
      </w:r>
      <w:proofErr w:type="spellEnd"/>
      <w:r w:rsidRPr="00BC6E48">
        <w:rPr>
          <w:rStyle w:val="q4iawc"/>
          <w:b/>
          <w:sz w:val="24"/>
          <w:szCs w:val="24"/>
          <w:lang w:val="en"/>
        </w:rPr>
        <w:t xml:space="preserve"> </w:t>
      </w:r>
      <w:proofErr w:type="spellStart"/>
      <w:r w:rsidRPr="00BC6E48">
        <w:rPr>
          <w:rStyle w:val="q4iawc"/>
          <w:b/>
          <w:sz w:val="24"/>
          <w:szCs w:val="24"/>
          <w:lang w:val="en"/>
        </w:rPr>
        <w:t>Atu</w:t>
      </w:r>
      <w:proofErr w:type="spellEnd"/>
      <w:r w:rsidRPr="00BC6E48">
        <w:rPr>
          <w:rStyle w:val="q4iawc"/>
          <w:b/>
          <w:sz w:val="24"/>
          <w:szCs w:val="24"/>
          <w:lang w:val="en"/>
        </w:rPr>
        <w:t xml:space="preserve"> Ensemble pour le Myanmar</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proofErr w:type="spellStart"/>
      <w:r w:rsidRPr="00BC6E48">
        <w:rPr>
          <w:rFonts w:eastAsia="Times New Roman" w:cs="Times New Roman"/>
          <w:b/>
          <w:sz w:val="24"/>
          <w:szCs w:val="24"/>
          <w:lang w:eastAsia="fr-FR"/>
        </w:rPr>
        <w:t>Educational</w:t>
      </w:r>
      <w:proofErr w:type="spellEnd"/>
      <w:r w:rsidRPr="00BC6E48">
        <w:rPr>
          <w:rFonts w:eastAsia="Times New Roman" w:cs="Times New Roman"/>
          <w:b/>
          <w:sz w:val="24"/>
          <w:szCs w:val="24"/>
          <w:lang w:eastAsia="fr-FR"/>
        </w:rPr>
        <w:t xml:space="preserve"> Initiatives Prague</w:t>
      </w:r>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r w:rsidRPr="00BC6E48">
        <w:rPr>
          <w:rStyle w:val="q4iawc"/>
          <w:b/>
          <w:sz w:val="24"/>
          <w:szCs w:val="24"/>
          <w:lang w:val="en"/>
        </w:rPr>
        <w:t>European Karen Network (EKN)</w:t>
      </w:r>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proofErr w:type="spellStart"/>
      <w:r w:rsidRPr="00BC6E48">
        <w:rPr>
          <w:rStyle w:val="q4iawc"/>
          <w:b/>
          <w:sz w:val="24"/>
          <w:szCs w:val="24"/>
          <w:lang w:val="en"/>
        </w:rPr>
        <w:t>Fédération</w:t>
      </w:r>
      <w:proofErr w:type="spellEnd"/>
      <w:r w:rsidRPr="00BC6E48">
        <w:rPr>
          <w:rStyle w:val="q4iawc"/>
          <w:b/>
          <w:sz w:val="24"/>
          <w:szCs w:val="24"/>
          <w:lang w:val="en"/>
        </w:rPr>
        <w:t xml:space="preserve"> </w:t>
      </w:r>
      <w:proofErr w:type="spellStart"/>
      <w:r w:rsidRPr="00BC6E48">
        <w:rPr>
          <w:rStyle w:val="q4iawc"/>
          <w:b/>
          <w:sz w:val="24"/>
          <w:szCs w:val="24"/>
          <w:lang w:val="en"/>
        </w:rPr>
        <w:t>internationale</w:t>
      </w:r>
      <w:proofErr w:type="spellEnd"/>
      <w:r w:rsidRPr="00BC6E48">
        <w:rPr>
          <w:rStyle w:val="q4iawc"/>
          <w:b/>
          <w:sz w:val="24"/>
          <w:szCs w:val="24"/>
          <w:lang w:val="en"/>
        </w:rPr>
        <w:t xml:space="preserve"> des </w:t>
      </w:r>
      <w:proofErr w:type="spellStart"/>
      <w:r w:rsidRPr="00BC6E48">
        <w:rPr>
          <w:rStyle w:val="q4iawc"/>
          <w:b/>
          <w:sz w:val="24"/>
          <w:szCs w:val="24"/>
          <w:lang w:val="en"/>
        </w:rPr>
        <w:t>droits</w:t>
      </w:r>
      <w:proofErr w:type="spellEnd"/>
      <w:r w:rsidRPr="00BC6E48">
        <w:rPr>
          <w:rStyle w:val="q4iawc"/>
          <w:b/>
          <w:sz w:val="24"/>
          <w:szCs w:val="24"/>
          <w:lang w:val="en"/>
        </w:rPr>
        <w:t xml:space="preserve"> de </w:t>
      </w:r>
      <w:proofErr w:type="spellStart"/>
      <w:r w:rsidRPr="00BC6E48">
        <w:rPr>
          <w:rStyle w:val="q4iawc"/>
          <w:b/>
          <w:sz w:val="24"/>
          <w:szCs w:val="24"/>
          <w:lang w:val="en"/>
        </w:rPr>
        <w:t>l’Homme</w:t>
      </w:r>
      <w:proofErr w:type="spellEnd"/>
      <w:r w:rsidRPr="00BC6E48">
        <w:rPr>
          <w:rStyle w:val="q4iawc"/>
          <w:b/>
          <w:sz w:val="24"/>
          <w:szCs w:val="24"/>
          <w:lang w:val="en"/>
        </w:rPr>
        <w:t xml:space="preserve"> (FIDH)</w:t>
      </w:r>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r w:rsidRPr="00BC6E48">
        <w:rPr>
          <w:rStyle w:val="q4iawc"/>
          <w:b/>
          <w:sz w:val="24"/>
          <w:szCs w:val="24"/>
          <w:lang w:val="en"/>
        </w:rPr>
        <w:t>Global Myanmar Spring Revolution (GMSR)</w:t>
      </w:r>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r w:rsidRPr="00BC6E48">
        <w:rPr>
          <w:rStyle w:val="q4iawc"/>
          <w:b/>
          <w:sz w:val="24"/>
          <w:szCs w:val="24"/>
          <w:lang w:val="en"/>
        </w:rPr>
        <w:t xml:space="preserve">Info </w:t>
      </w:r>
      <w:proofErr w:type="spellStart"/>
      <w:r w:rsidRPr="00BC6E48">
        <w:rPr>
          <w:rStyle w:val="q4iawc"/>
          <w:b/>
          <w:sz w:val="24"/>
          <w:szCs w:val="24"/>
          <w:lang w:val="en"/>
        </w:rPr>
        <w:t>Birmanie</w:t>
      </w:r>
      <w:proofErr w:type="spellEnd"/>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r w:rsidRPr="00BC6E48">
        <w:rPr>
          <w:rFonts w:eastAsia="Times New Roman" w:cs="Times New Roman"/>
          <w:b/>
          <w:sz w:val="24"/>
          <w:szCs w:val="24"/>
          <w:lang w:eastAsia="fr-FR"/>
        </w:rPr>
        <w:t>International Association Myanmar-</w:t>
      </w:r>
      <w:proofErr w:type="spellStart"/>
      <w:r w:rsidRPr="00BC6E48">
        <w:rPr>
          <w:rFonts w:eastAsia="Times New Roman" w:cs="Times New Roman"/>
          <w:b/>
          <w:sz w:val="24"/>
          <w:szCs w:val="24"/>
          <w:lang w:eastAsia="fr-FR"/>
        </w:rPr>
        <w:t>Swit</w:t>
      </w:r>
      <w:r w:rsidRPr="00BC6E48">
        <w:rPr>
          <w:rStyle w:val="Accentuation"/>
          <w:b/>
          <w:i w:val="0"/>
          <w:sz w:val="24"/>
          <w:szCs w:val="24"/>
        </w:rPr>
        <w:t>z</w:t>
      </w:r>
      <w:r w:rsidRPr="00BC6E48">
        <w:rPr>
          <w:rFonts w:eastAsia="Times New Roman" w:cs="Times New Roman"/>
          <w:b/>
          <w:sz w:val="24"/>
          <w:szCs w:val="24"/>
          <w:lang w:eastAsia="fr-FR"/>
        </w:rPr>
        <w:t>erland</w:t>
      </w:r>
      <w:proofErr w:type="spellEnd"/>
      <w:r w:rsidRPr="00BC6E48">
        <w:rPr>
          <w:rFonts w:eastAsia="Times New Roman" w:cs="Times New Roman"/>
          <w:b/>
          <w:sz w:val="24"/>
          <w:szCs w:val="24"/>
          <w:lang w:eastAsia="fr-FR"/>
        </w:rPr>
        <w:t xml:space="preserve"> (IAMS)</w:t>
      </w:r>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r w:rsidRPr="00BC6E48">
        <w:rPr>
          <w:rStyle w:val="q4iawc"/>
          <w:b/>
          <w:sz w:val="24"/>
          <w:szCs w:val="24"/>
          <w:lang w:val="en"/>
        </w:rPr>
        <w:t xml:space="preserve">International Karen </w:t>
      </w:r>
      <w:proofErr w:type="spellStart"/>
      <w:r w:rsidRPr="00BC6E48">
        <w:rPr>
          <w:rStyle w:val="q4iawc"/>
          <w:b/>
          <w:sz w:val="24"/>
          <w:szCs w:val="24"/>
          <w:lang w:val="en"/>
        </w:rPr>
        <w:t>Organisation</w:t>
      </w:r>
      <w:proofErr w:type="spellEnd"/>
      <w:r w:rsidRPr="00BC6E48">
        <w:rPr>
          <w:rStyle w:val="q4iawc"/>
          <w:b/>
          <w:sz w:val="24"/>
          <w:szCs w:val="24"/>
          <w:lang w:val="en"/>
        </w:rPr>
        <w:t xml:space="preserve"> (IKO)</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r w:rsidRPr="00BC6E48">
        <w:rPr>
          <w:b/>
          <w:sz w:val="24"/>
          <w:szCs w:val="24"/>
        </w:rPr>
        <w:t xml:space="preserve">International Society of Myanmar </w:t>
      </w:r>
      <w:proofErr w:type="spellStart"/>
      <w:r w:rsidRPr="00BC6E48">
        <w:rPr>
          <w:b/>
          <w:sz w:val="24"/>
          <w:szCs w:val="24"/>
        </w:rPr>
        <w:t>Scholars</w:t>
      </w:r>
      <w:proofErr w:type="spellEnd"/>
      <w:r w:rsidRPr="00BC6E48">
        <w:rPr>
          <w:b/>
          <w:sz w:val="24"/>
          <w:szCs w:val="24"/>
        </w:rPr>
        <w:t xml:space="preserve"> and </w:t>
      </w:r>
      <w:proofErr w:type="spellStart"/>
      <w:r w:rsidRPr="00BC6E48">
        <w:rPr>
          <w:b/>
          <w:sz w:val="24"/>
          <w:szCs w:val="24"/>
        </w:rPr>
        <w:t>Professionals</w:t>
      </w:r>
      <w:proofErr w:type="spellEnd"/>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proofErr w:type="spellStart"/>
      <w:r w:rsidRPr="00BC6E48">
        <w:rPr>
          <w:b/>
          <w:sz w:val="24"/>
          <w:szCs w:val="24"/>
        </w:rPr>
        <w:t>Japan</w:t>
      </w:r>
      <w:proofErr w:type="spellEnd"/>
      <w:r w:rsidRPr="00BC6E48">
        <w:rPr>
          <w:b/>
          <w:sz w:val="24"/>
          <w:szCs w:val="24"/>
        </w:rPr>
        <w:t xml:space="preserve"> Myanmar Help Network </w:t>
      </w:r>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r w:rsidRPr="00BC6E48">
        <w:rPr>
          <w:rStyle w:val="q4iawc"/>
          <w:b/>
          <w:sz w:val="24"/>
          <w:szCs w:val="24"/>
          <w:lang w:val="en"/>
        </w:rPr>
        <w:t>Justice for Myanmar</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r w:rsidRPr="00BC6E48">
        <w:rPr>
          <w:b/>
          <w:sz w:val="24"/>
          <w:szCs w:val="24"/>
        </w:rPr>
        <w:t>Justice4Rohingya UK</w:t>
      </w:r>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r w:rsidRPr="00BC6E48">
        <w:rPr>
          <w:rStyle w:val="q4iawc"/>
          <w:b/>
          <w:sz w:val="24"/>
          <w:szCs w:val="24"/>
          <w:lang w:val="en"/>
        </w:rPr>
        <w:t>Karen Swedish Community (KSC)</w:t>
      </w:r>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proofErr w:type="spellStart"/>
      <w:r w:rsidRPr="00BC6E48">
        <w:rPr>
          <w:rStyle w:val="q4iawc"/>
          <w:b/>
          <w:sz w:val="24"/>
          <w:szCs w:val="24"/>
          <w:lang w:val="en"/>
        </w:rPr>
        <w:t>Ligue</w:t>
      </w:r>
      <w:proofErr w:type="spellEnd"/>
      <w:r w:rsidRPr="00BC6E48">
        <w:rPr>
          <w:rStyle w:val="q4iawc"/>
          <w:b/>
          <w:sz w:val="24"/>
          <w:szCs w:val="24"/>
          <w:lang w:val="en"/>
        </w:rPr>
        <w:t xml:space="preserve"> des </w:t>
      </w:r>
      <w:proofErr w:type="spellStart"/>
      <w:r w:rsidRPr="00BC6E48">
        <w:rPr>
          <w:rStyle w:val="q4iawc"/>
          <w:b/>
          <w:sz w:val="24"/>
          <w:szCs w:val="24"/>
          <w:lang w:val="en"/>
        </w:rPr>
        <w:t>droits</w:t>
      </w:r>
      <w:proofErr w:type="spellEnd"/>
      <w:r w:rsidRPr="00BC6E48">
        <w:rPr>
          <w:rStyle w:val="q4iawc"/>
          <w:b/>
          <w:sz w:val="24"/>
          <w:szCs w:val="24"/>
          <w:lang w:val="en"/>
        </w:rPr>
        <w:t xml:space="preserve"> de </w:t>
      </w:r>
      <w:proofErr w:type="spellStart"/>
      <w:r w:rsidRPr="00BC6E48">
        <w:rPr>
          <w:rStyle w:val="q4iawc"/>
          <w:b/>
          <w:sz w:val="24"/>
          <w:szCs w:val="24"/>
          <w:lang w:val="en"/>
        </w:rPr>
        <w:t>l’Homme</w:t>
      </w:r>
      <w:proofErr w:type="spellEnd"/>
      <w:r w:rsidRPr="00BC6E48">
        <w:rPr>
          <w:rStyle w:val="q4iawc"/>
          <w:b/>
          <w:sz w:val="24"/>
          <w:szCs w:val="24"/>
          <w:lang w:val="en"/>
        </w:rPr>
        <w:t xml:space="preserve"> (LDH)</w:t>
      </w:r>
    </w:p>
    <w:p w:rsidR="00BC6E48" w:rsidRPr="00BC6E48" w:rsidRDefault="00BC6E48" w:rsidP="00BC6E48">
      <w:pPr>
        <w:pStyle w:val="Paragraphedeliste"/>
        <w:numPr>
          <w:ilvl w:val="0"/>
          <w:numId w:val="2"/>
        </w:numPr>
        <w:spacing w:before="100" w:beforeAutospacing="1" w:after="100" w:afterAutospacing="1" w:line="240" w:lineRule="auto"/>
        <w:rPr>
          <w:rStyle w:val="q4iawc"/>
          <w:rFonts w:eastAsia="Times New Roman" w:cs="Times New Roman"/>
          <w:b/>
          <w:sz w:val="24"/>
          <w:szCs w:val="24"/>
          <w:lang w:eastAsia="fr-FR"/>
        </w:rPr>
      </w:pPr>
      <w:r w:rsidRPr="00BC6E48">
        <w:rPr>
          <w:rStyle w:val="q4iawc"/>
          <w:b/>
          <w:sz w:val="24"/>
          <w:szCs w:val="24"/>
          <w:lang w:val="en"/>
        </w:rPr>
        <w:t>Myanmar Accountability Project (MAP)</w:t>
      </w:r>
    </w:p>
    <w:p w:rsidR="00BC6E48" w:rsidRPr="00BC6E48" w:rsidRDefault="00BC6E48" w:rsidP="00BC6E48">
      <w:pPr>
        <w:pStyle w:val="Paragraphedeliste"/>
        <w:numPr>
          <w:ilvl w:val="0"/>
          <w:numId w:val="2"/>
        </w:numPr>
        <w:spacing w:before="100" w:beforeAutospacing="1" w:after="100" w:afterAutospacing="1" w:line="240" w:lineRule="auto"/>
        <w:rPr>
          <w:rFonts w:eastAsia="Times New Roman" w:cs="Times New Roman"/>
          <w:b/>
          <w:sz w:val="24"/>
          <w:szCs w:val="24"/>
          <w:lang w:eastAsia="fr-FR"/>
        </w:rPr>
      </w:pPr>
      <w:r w:rsidRPr="00BC6E48">
        <w:rPr>
          <w:rFonts w:eastAsia="Times New Roman" w:cs="Times New Roman"/>
          <w:b/>
          <w:sz w:val="24"/>
          <w:szCs w:val="24"/>
          <w:lang w:eastAsia="fr-FR"/>
        </w:rPr>
        <w:t>Myanmar people in Ireland</w:t>
      </w:r>
    </w:p>
    <w:p w:rsidR="00BC6E48" w:rsidRPr="00BC6E48" w:rsidRDefault="00BC6E48" w:rsidP="00BC6E48">
      <w:pPr>
        <w:pStyle w:val="Paragraphedeliste"/>
        <w:numPr>
          <w:ilvl w:val="0"/>
          <w:numId w:val="2"/>
        </w:numPr>
        <w:spacing w:before="100" w:beforeAutospacing="1" w:after="100" w:afterAutospacing="1" w:line="240" w:lineRule="auto"/>
        <w:jc w:val="both"/>
        <w:rPr>
          <w:b/>
          <w:sz w:val="24"/>
          <w:szCs w:val="24"/>
        </w:rPr>
      </w:pPr>
      <w:r w:rsidRPr="00BC6E48">
        <w:rPr>
          <w:rFonts w:eastAsia="Times New Roman" w:cs="Times New Roman"/>
          <w:b/>
          <w:sz w:val="24"/>
          <w:szCs w:val="24"/>
          <w:lang w:eastAsia="fr-FR"/>
        </w:rPr>
        <w:t xml:space="preserve">Myanmar </w:t>
      </w:r>
      <w:proofErr w:type="spellStart"/>
      <w:r w:rsidRPr="00BC6E48">
        <w:rPr>
          <w:rFonts w:eastAsia="Times New Roman" w:cs="Times New Roman"/>
          <w:b/>
          <w:sz w:val="24"/>
          <w:szCs w:val="24"/>
          <w:lang w:eastAsia="fr-FR"/>
        </w:rPr>
        <w:t>Community</w:t>
      </w:r>
      <w:proofErr w:type="spellEnd"/>
      <w:r w:rsidRPr="00BC6E48">
        <w:rPr>
          <w:rFonts w:eastAsia="Times New Roman" w:cs="Times New Roman"/>
          <w:b/>
          <w:sz w:val="24"/>
          <w:szCs w:val="24"/>
          <w:lang w:eastAsia="fr-FR"/>
        </w:rPr>
        <w:t xml:space="preserve"> </w:t>
      </w:r>
      <w:proofErr w:type="spellStart"/>
      <w:r w:rsidRPr="00BC6E48">
        <w:rPr>
          <w:rFonts w:eastAsia="Times New Roman" w:cs="Times New Roman"/>
          <w:b/>
          <w:sz w:val="24"/>
          <w:szCs w:val="24"/>
          <w:lang w:eastAsia="fr-FR"/>
        </w:rPr>
        <w:t>Austria</w:t>
      </w:r>
      <w:proofErr w:type="spellEnd"/>
      <w:r w:rsidRPr="00BC6E48">
        <w:rPr>
          <w:rFonts w:eastAsia="Times New Roman" w:cs="Times New Roman"/>
          <w:b/>
          <w:sz w:val="24"/>
          <w:szCs w:val="24"/>
          <w:lang w:eastAsia="fr-FR"/>
        </w:rPr>
        <w:t xml:space="preserve"> (MCA)</w:t>
      </w:r>
    </w:p>
    <w:p w:rsidR="00BC6E48" w:rsidRPr="00BC6E48" w:rsidRDefault="00BC6E48" w:rsidP="00BC6E48">
      <w:pPr>
        <w:pStyle w:val="Paragraphedeliste"/>
        <w:numPr>
          <w:ilvl w:val="0"/>
          <w:numId w:val="2"/>
        </w:numPr>
        <w:spacing w:before="100" w:beforeAutospacing="1" w:after="100" w:afterAutospacing="1" w:line="240" w:lineRule="auto"/>
        <w:jc w:val="both"/>
        <w:rPr>
          <w:rFonts w:eastAsia="Times New Roman" w:cs="Times New Roman"/>
          <w:b/>
          <w:sz w:val="24"/>
          <w:szCs w:val="24"/>
          <w:lang w:eastAsia="fr-FR"/>
        </w:rPr>
      </w:pPr>
      <w:r w:rsidRPr="00BC6E48">
        <w:rPr>
          <w:b/>
          <w:sz w:val="24"/>
          <w:szCs w:val="24"/>
        </w:rPr>
        <w:t>Progressive Voice</w:t>
      </w:r>
    </w:p>
    <w:p w:rsidR="00BC6E48" w:rsidRPr="00BC6E48" w:rsidRDefault="00BC6E48" w:rsidP="00BC6E48">
      <w:pPr>
        <w:pStyle w:val="Paragraphedeliste"/>
        <w:numPr>
          <w:ilvl w:val="0"/>
          <w:numId w:val="2"/>
        </w:numPr>
        <w:spacing w:before="100" w:beforeAutospacing="1" w:after="100" w:afterAutospacing="1" w:line="240" w:lineRule="auto"/>
        <w:jc w:val="both"/>
        <w:rPr>
          <w:b/>
          <w:sz w:val="24"/>
          <w:szCs w:val="24"/>
        </w:rPr>
      </w:pPr>
      <w:proofErr w:type="spellStart"/>
      <w:r w:rsidRPr="00BC6E48">
        <w:rPr>
          <w:rFonts w:eastAsia="Times New Roman" w:cs="Times New Roman"/>
          <w:b/>
          <w:sz w:val="24"/>
          <w:szCs w:val="24"/>
          <w:lang w:eastAsia="fr-FR"/>
        </w:rPr>
        <w:t>Rohingya</w:t>
      </w:r>
      <w:proofErr w:type="spellEnd"/>
      <w:r w:rsidRPr="00BC6E48">
        <w:rPr>
          <w:rFonts w:eastAsia="Times New Roman" w:cs="Times New Roman"/>
          <w:b/>
          <w:sz w:val="24"/>
          <w:szCs w:val="24"/>
          <w:lang w:eastAsia="fr-FR"/>
        </w:rPr>
        <w:t xml:space="preserve"> Action Ireland</w:t>
      </w:r>
    </w:p>
    <w:p w:rsidR="00BC6E48" w:rsidRPr="00BC6E48" w:rsidRDefault="00BC6E48" w:rsidP="00BC6E48">
      <w:pPr>
        <w:pStyle w:val="Paragraphedeliste"/>
        <w:numPr>
          <w:ilvl w:val="0"/>
          <w:numId w:val="2"/>
        </w:numPr>
        <w:spacing w:before="100" w:beforeAutospacing="1" w:after="100" w:afterAutospacing="1" w:line="240" w:lineRule="auto"/>
        <w:jc w:val="both"/>
        <w:rPr>
          <w:rFonts w:eastAsia="Times New Roman" w:cs="Times New Roman"/>
          <w:b/>
          <w:sz w:val="24"/>
          <w:szCs w:val="24"/>
          <w:lang w:eastAsia="fr-FR"/>
        </w:rPr>
      </w:pPr>
      <w:r w:rsidRPr="00BC6E48">
        <w:rPr>
          <w:rStyle w:val="q4iawc"/>
          <w:b/>
          <w:sz w:val="24"/>
          <w:szCs w:val="24"/>
          <w:lang w:val="en"/>
        </w:rPr>
        <w:t>Supporting Myanmar Australia</w:t>
      </w:r>
      <w:r w:rsidRPr="00BC6E48">
        <w:rPr>
          <w:b/>
          <w:sz w:val="24"/>
          <w:szCs w:val="24"/>
        </w:rPr>
        <w:t xml:space="preserve"> </w:t>
      </w:r>
    </w:p>
    <w:p w:rsidR="00BC6E48" w:rsidRPr="00BC6E48" w:rsidRDefault="00BC6E48" w:rsidP="00BC6E48">
      <w:pPr>
        <w:pStyle w:val="Paragraphedeliste"/>
        <w:numPr>
          <w:ilvl w:val="0"/>
          <w:numId w:val="2"/>
        </w:numPr>
        <w:spacing w:before="100" w:beforeAutospacing="1" w:after="100" w:afterAutospacing="1" w:line="240" w:lineRule="auto"/>
        <w:jc w:val="both"/>
        <w:rPr>
          <w:b/>
          <w:sz w:val="24"/>
          <w:szCs w:val="24"/>
          <w:lang w:val="en"/>
        </w:rPr>
      </w:pPr>
      <w:proofErr w:type="spellStart"/>
      <w:r w:rsidRPr="00BC6E48">
        <w:rPr>
          <w:b/>
          <w:sz w:val="24"/>
          <w:szCs w:val="24"/>
        </w:rPr>
        <w:t>Swedish</w:t>
      </w:r>
      <w:proofErr w:type="spellEnd"/>
      <w:r w:rsidRPr="00BC6E48">
        <w:rPr>
          <w:b/>
          <w:sz w:val="24"/>
          <w:szCs w:val="24"/>
        </w:rPr>
        <w:t xml:space="preserve"> </w:t>
      </w:r>
      <w:proofErr w:type="spellStart"/>
      <w:r w:rsidRPr="00BC6E48">
        <w:rPr>
          <w:b/>
          <w:sz w:val="24"/>
          <w:szCs w:val="24"/>
        </w:rPr>
        <w:t>Burma</w:t>
      </w:r>
      <w:proofErr w:type="spellEnd"/>
      <w:r w:rsidRPr="00BC6E48">
        <w:rPr>
          <w:b/>
          <w:sz w:val="24"/>
          <w:szCs w:val="24"/>
        </w:rPr>
        <w:t xml:space="preserve"> </w:t>
      </w:r>
      <w:proofErr w:type="spellStart"/>
      <w:r w:rsidRPr="00BC6E48">
        <w:rPr>
          <w:b/>
          <w:sz w:val="24"/>
          <w:szCs w:val="24"/>
        </w:rPr>
        <w:t>Committee</w:t>
      </w:r>
      <w:proofErr w:type="spellEnd"/>
    </w:p>
    <w:p w:rsidR="00BC6E48" w:rsidRPr="00BC6E48" w:rsidRDefault="00BC6E48" w:rsidP="00BC6E48">
      <w:pPr>
        <w:pStyle w:val="Paragraphedeliste"/>
        <w:numPr>
          <w:ilvl w:val="0"/>
          <w:numId w:val="2"/>
        </w:numPr>
        <w:spacing w:before="100" w:beforeAutospacing="1" w:after="100" w:afterAutospacing="1" w:line="240" w:lineRule="auto"/>
        <w:jc w:val="both"/>
        <w:rPr>
          <w:rStyle w:val="q4iawc"/>
          <w:b/>
          <w:sz w:val="24"/>
          <w:szCs w:val="24"/>
          <w:lang w:val="en"/>
        </w:rPr>
      </w:pPr>
      <w:r w:rsidRPr="00BC6E48">
        <w:rPr>
          <w:rStyle w:val="q4iawc"/>
          <w:b/>
          <w:sz w:val="24"/>
          <w:szCs w:val="24"/>
          <w:lang w:val="en"/>
        </w:rPr>
        <w:t xml:space="preserve">US Burma Campaign </w:t>
      </w:r>
    </w:p>
    <w:p w:rsidR="00BC6E48" w:rsidRPr="00BC6E48" w:rsidRDefault="00BC6E48" w:rsidP="00BC6E48">
      <w:pPr>
        <w:pStyle w:val="Paragraphedeliste"/>
        <w:numPr>
          <w:ilvl w:val="0"/>
          <w:numId w:val="2"/>
        </w:numPr>
        <w:spacing w:before="100" w:beforeAutospacing="1" w:after="100" w:afterAutospacing="1" w:line="240" w:lineRule="auto"/>
        <w:jc w:val="both"/>
        <w:rPr>
          <w:rStyle w:val="q4iawc"/>
          <w:b/>
          <w:sz w:val="24"/>
          <w:szCs w:val="24"/>
          <w:lang w:val="en"/>
        </w:rPr>
      </w:pPr>
      <w:r w:rsidRPr="00BC6E48">
        <w:rPr>
          <w:rStyle w:val="q4iawc"/>
          <w:b/>
          <w:sz w:val="24"/>
          <w:szCs w:val="24"/>
          <w:lang w:val="en"/>
        </w:rPr>
        <w:t>Women Activists Myanmar</w:t>
      </w:r>
    </w:p>
    <w:p w:rsidR="00BC6E48" w:rsidRPr="00BC6E48" w:rsidRDefault="00BC6E48" w:rsidP="00BC6E48">
      <w:pPr>
        <w:spacing w:after="0" w:line="240" w:lineRule="auto"/>
        <w:rPr>
          <w:rFonts w:eastAsia="Times New Roman" w:cs="Times New Roman"/>
          <w:b/>
          <w:sz w:val="24"/>
          <w:szCs w:val="24"/>
          <w:lang w:eastAsia="fr-FR"/>
        </w:rPr>
      </w:pPr>
    </w:p>
    <w:p w:rsidR="00BC6E48" w:rsidRPr="00BC6E48" w:rsidRDefault="00BC6E48" w:rsidP="00BC6E48">
      <w:pPr>
        <w:spacing w:after="0" w:line="240" w:lineRule="auto"/>
        <w:rPr>
          <w:rFonts w:eastAsia="Times New Roman" w:cs="Times New Roman"/>
          <w:b/>
          <w:sz w:val="24"/>
          <w:szCs w:val="24"/>
          <w:lang w:eastAsia="fr-FR"/>
        </w:rPr>
      </w:pPr>
      <w:r w:rsidRPr="00BC6E48">
        <w:rPr>
          <w:rFonts w:eastAsia="Times New Roman" w:cs="Times New Roman"/>
          <w:b/>
          <w:sz w:val="24"/>
          <w:szCs w:val="24"/>
          <w:lang w:eastAsia="fr-FR"/>
        </w:rPr>
        <w:t> </w:t>
      </w:r>
    </w:p>
    <w:sectPr w:rsidR="00BC6E48" w:rsidRPr="00BC6E48" w:rsidSect="00BC6E4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86" w:rsidRDefault="00643086" w:rsidP="00C15A6F">
      <w:pPr>
        <w:spacing w:after="0" w:line="240" w:lineRule="auto"/>
      </w:pPr>
      <w:r>
        <w:separator/>
      </w:r>
    </w:p>
  </w:endnote>
  <w:endnote w:type="continuationSeparator" w:id="0">
    <w:p w:rsidR="00643086" w:rsidRDefault="00643086" w:rsidP="00C1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95661"/>
      <w:docPartObj>
        <w:docPartGallery w:val="Page Numbers (Bottom of Page)"/>
        <w:docPartUnique/>
      </w:docPartObj>
    </w:sdtPr>
    <w:sdtContent>
      <w:p w:rsidR="002D75E3" w:rsidRDefault="002D75E3">
        <w:pPr>
          <w:pStyle w:val="Pieddepage"/>
          <w:jc w:val="right"/>
        </w:pPr>
        <w:r>
          <w:fldChar w:fldCharType="begin"/>
        </w:r>
        <w:r>
          <w:instrText>PAGE   \* MERGEFORMAT</w:instrText>
        </w:r>
        <w:r>
          <w:fldChar w:fldCharType="separate"/>
        </w:r>
        <w:r>
          <w:rPr>
            <w:noProof/>
          </w:rPr>
          <w:t>2</w:t>
        </w:r>
        <w:r>
          <w:fldChar w:fldCharType="end"/>
        </w:r>
      </w:p>
    </w:sdtContent>
  </w:sdt>
  <w:p w:rsidR="002D75E3" w:rsidRDefault="002D75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86" w:rsidRDefault="00643086" w:rsidP="00C15A6F">
      <w:pPr>
        <w:spacing w:after="0" w:line="240" w:lineRule="auto"/>
      </w:pPr>
      <w:r>
        <w:separator/>
      </w:r>
    </w:p>
  </w:footnote>
  <w:footnote w:type="continuationSeparator" w:id="0">
    <w:p w:rsidR="00643086" w:rsidRDefault="00643086" w:rsidP="00C15A6F">
      <w:pPr>
        <w:spacing w:after="0" w:line="240" w:lineRule="auto"/>
      </w:pPr>
      <w:r>
        <w:continuationSeparator/>
      </w:r>
    </w:p>
  </w:footnote>
  <w:footnote w:id="1">
    <w:p w:rsidR="00447664" w:rsidRPr="00C15A6F" w:rsidRDefault="00447664" w:rsidP="00447664">
      <w:pPr>
        <w:pStyle w:val="Titre1"/>
        <w:jc w:val="both"/>
        <w:rPr>
          <w:rFonts w:asciiTheme="minorHAnsi" w:hAnsiTheme="minorHAnsi"/>
          <w:sz w:val="18"/>
          <w:szCs w:val="18"/>
        </w:rPr>
      </w:pPr>
      <w:r w:rsidRPr="00C15A6F">
        <w:rPr>
          <w:rStyle w:val="Appelnotedebasdep"/>
          <w:rFonts w:asciiTheme="minorHAnsi" w:hAnsiTheme="minorHAnsi"/>
          <w:sz w:val="18"/>
          <w:szCs w:val="18"/>
        </w:rPr>
        <w:footnoteRef/>
      </w:r>
      <w:r w:rsidRPr="00C15A6F">
        <w:rPr>
          <w:rFonts w:asciiTheme="minorHAnsi" w:hAnsiTheme="minorHAnsi"/>
          <w:sz w:val="18"/>
          <w:szCs w:val="18"/>
        </w:rPr>
        <w:t xml:space="preserve"> </w:t>
      </w:r>
      <w:r w:rsidRPr="00C15A6F">
        <w:rPr>
          <w:rFonts w:asciiTheme="minorHAnsi" w:eastAsia="Times New Roman" w:hAnsiTheme="minorHAnsi" w:cs="Times New Roman"/>
          <w:color w:val="auto"/>
          <w:kern w:val="36"/>
          <w:sz w:val="18"/>
          <w:szCs w:val="18"/>
          <w:lang w:eastAsia="fr-FR"/>
        </w:rPr>
        <w:t xml:space="preserve">Myanmar : Cinq ans plus tard, les Rohingyas sont toujours privés de justice et de liberté, 24 août 2022 </w:t>
      </w:r>
      <w:hyperlink r:id="rId1" w:history="1">
        <w:r w:rsidRPr="00C15A6F">
          <w:rPr>
            <w:rStyle w:val="Lienhypertexte"/>
            <w:rFonts w:asciiTheme="minorHAnsi" w:hAnsiTheme="minorHAnsi"/>
            <w:sz w:val="18"/>
            <w:szCs w:val="18"/>
          </w:rPr>
          <w:t>https://www.hrw.org/fr/news/2022/08/24/myanmar-cinq-ans-plus-tard-les-rohingyas-sont-toujours-prives-de-justice-et-de?fbclid=IwAR3qyh37gjR31H_BUTbhPEE28GMBP_tWMfTuEUH6bnFphuLeAj47uVQoD6g</w:t>
        </w:r>
      </w:hyperlink>
    </w:p>
    <w:p w:rsidR="00447664" w:rsidRDefault="00447664" w:rsidP="00447664">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4184"/>
    <w:multiLevelType w:val="hybridMultilevel"/>
    <w:tmpl w:val="4C2EC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1F0BEA"/>
    <w:multiLevelType w:val="hybridMultilevel"/>
    <w:tmpl w:val="54C0DA4E"/>
    <w:lvl w:ilvl="0" w:tplc="66400634">
      <w:start w:val="3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81"/>
    <w:rsid w:val="00020720"/>
    <w:rsid w:val="00033E0A"/>
    <w:rsid w:val="0005303C"/>
    <w:rsid w:val="000727F8"/>
    <w:rsid w:val="00073159"/>
    <w:rsid w:val="00081BEB"/>
    <w:rsid w:val="000B0F1A"/>
    <w:rsid w:val="000B647D"/>
    <w:rsid w:val="00104A39"/>
    <w:rsid w:val="001222A7"/>
    <w:rsid w:val="00130F1A"/>
    <w:rsid w:val="00183332"/>
    <w:rsid w:val="001B21C5"/>
    <w:rsid w:val="001F0757"/>
    <w:rsid w:val="00200B81"/>
    <w:rsid w:val="00255EA9"/>
    <w:rsid w:val="00267477"/>
    <w:rsid w:val="00281765"/>
    <w:rsid w:val="00294065"/>
    <w:rsid w:val="002B3B3B"/>
    <w:rsid w:val="002B413B"/>
    <w:rsid w:val="002D75E3"/>
    <w:rsid w:val="00320978"/>
    <w:rsid w:val="0034749C"/>
    <w:rsid w:val="003634B7"/>
    <w:rsid w:val="00370160"/>
    <w:rsid w:val="00372B92"/>
    <w:rsid w:val="003741B0"/>
    <w:rsid w:val="00407AF0"/>
    <w:rsid w:val="00414AB2"/>
    <w:rsid w:val="00416CB0"/>
    <w:rsid w:val="00447664"/>
    <w:rsid w:val="00456968"/>
    <w:rsid w:val="004A3880"/>
    <w:rsid w:val="004C7AF9"/>
    <w:rsid w:val="004E1AB9"/>
    <w:rsid w:val="004E448B"/>
    <w:rsid w:val="004F2064"/>
    <w:rsid w:val="0051351F"/>
    <w:rsid w:val="00521A29"/>
    <w:rsid w:val="00554741"/>
    <w:rsid w:val="005C7BBA"/>
    <w:rsid w:val="005E7D4C"/>
    <w:rsid w:val="00600FE9"/>
    <w:rsid w:val="00627A6B"/>
    <w:rsid w:val="00641F1F"/>
    <w:rsid w:val="00643086"/>
    <w:rsid w:val="006479C7"/>
    <w:rsid w:val="00650077"/>
    <w:rsid w:val="00660CAB"/>
    <w:rsid w:val="006841C1"/>
    <w:rsid w:val="006A0D25"/>
    <w:rsid w:val="006F44FB"/>
    <w:rsid w:val="00700533"/>
    <w:rsid w:val="00716AFA"/>
    <w:rsid w:val="007452B0"/>
    <w:rsid w:val="007537C4"/>
    <w:rsid w:val="007F1CFF"/>
    <w:rsid w:val="00861353"/>
    <w:rsid w:val="00864E07"/>
    <w:rsid w:val="00904BBD"/>
    <w:rsid w:val="00971663"/>
    <w:rsid w:val="009C4C4A"/>
    <w:rsid w:val="009E7ADF"/>
    <w:rsid w:val="00A01314"/>
    <w:rsid w:val="00A3704E"/>
    <w:rsid w:val="00A374BB"/>
    <w:rsid w:val="00AA79C3"/>
    <w:rsid w:val="00B00692"/>
    <w:rsid w:val="00B075C5"/>
    <w:rsid w:val="00B16190"/>
    <w:rsid w:val="00B300AA"/>
    <w:rsid w:val="00B32AB3"/>
    <w:rsid w:val="00B44ED0"/>
    <w:rsid w:val="00BC6E48"/>
    <w:rsid w:val="00C136CA"/>
    <w:rsid w:val="00C15A6F"/>
    <w:rsid w:val="00C60C31"/>
    <w:rsid w:val="00C835E1"/>
    <w:rsid w:val="00C87821"/>
    <w:rsid w:val="00CA347A"/>
    <w:rsid w:val="00CB5712"/>
    <w:rsid w:val="00CC5AFE"/>
    <w:rsid w:val="00D420F3"/>
    <w:rsid w:val="00DC36A5"/>
    <w:rsid w:val="00DC4B2D"/>
    <w:rsid w:val="00E651DC"/>
    <w:rsid w:val="00EC26F4"/>
    <w:rsid w:val="00ED0655"/>
    <w:rsid w:val="00EF6756"/>
    <w:rsid w:val="00F44AA8"/>
    <w:rsid w:val="00F900AB"/>
    <w:rsid w:val="00F9276C"/>
    <w:rsid w:val="00FA5204"/>
    <w:rsid w:val="00FC61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5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0B81"/>
    <w:rPr>
      <w:color w:val="0000FF"/>
      <w:u w:val="single"/>
    </w:rPr>
  </w:style>
  <w:style w:type="paragraph" w:styleId="Notedebasdepage">
    <w:name w:val="footnote text"/>
    <w:basedOn w:val="Normal"/>
    <w:link w:val="NotedebasdepageCar"/>
    <w:uiPriority w:val="99"/>
    <w:semiHidden/>
    <w:unhideWhenUsed/>
    <w:rsid w:val="00C15A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5A6F"/>
    <w:rPr>
      <w:sz w:val="20"/>
      <w:szCs w:val="20"/>
    </w:rPr>
  </w:style>
  <w:style w:type="character" w:styleId="Appelnotedebasdep">
    <w:name w:val="footnote reference"/>
    <w:basedOn w:val="Policepardfaut"/>
    <w:uiPriority w:val="99"/>
    <w:semiHidden/>
    <w:unhideWhenUsed/>
    <w:rsid w:val="00C15A6F"/>
    <w:rPr>
      <w:vertAlign w:val="superscript"/>
    </w:rPr>
  </w:style>
  <w:style w:type="character" w:customStyle="1" w:styleId="Titre1Car">
    <w:name w:val="Titre 1 Car"/>
    <w:basedOn w:val="Policepardfaut"/>
    <w:link w:val="Titre1"/>
    <w:uiPriority w:val="9"/>
    <w:rsid w:val="00C15A6F"/>
    <w:rPr>
      <w:rFonts w:asciiTheme="majorHAnsi" w:eastAsiaTheme="majorEastAsia" w:hAnsiTheme="majorHAnsi" w:cstheme="majorBidi"/>
      <w:b/>
      <w:bCs/>
      <w:color w:val="365F91" w:themeColor="accent1" w:themeShade="BF"/>
      <w:sz w:val="28"/>
      <w:szCs w:val="28"/>
    </w:rPr>
  </w:style>
  <w:style w:type="paragraph" w:styleId="PrformatHTML">
    <w:name w:val="HTML Preformatted"/>
    <w:basedOn w:val="Normal"/>
    <w:link w:val="PrformatHTMLCar"/>
    <w:uiPriority w:val="99"/>
    <w:semiHidden/>
    <w:unhideWhenUsed/>
    <w:rsid w:val="004C7AF9"/>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4C7AF9"/>
    <w:rPr>
      <w:rFonts w:ascii="Consolas" w:hAnsi="Consolas" w:cs="Consolas"/>
      <w:sz w:val="20"/>
      <w:szCs w:val="20"/>
    </w:rPr>
  </w:style>
  <w:style w:type="character" w:customStyle="1" w:styleId="markedcontent">
    <w:name w:val="markedcontent"/>
    <w:basedOn w:val="Policepardfaut"/>
    <w:rsid w:val="00447664"/>
  </w:style>
  <w:style w:type="character" w:customStyle="1" w:styleId="q4iawc">
    <w:name w:val="q4iawc"/>
    <w:basedOn w:val="Policepardfaut"/>
    <w:rsid w:val="00073159"/>
  </w:style>
  <w:style w:type="character" w:styleId="Accentuation">
    <w:name w:val="Emphasis"/>
    <w:basedOn w:val="Policepardfaut"/>
    <w:uiPriority w:val="20"/>
    <w:qFormat/>
    <w:rsid w:val="00BC6E48"/>
    <w:rPr>
      <w:i/>
      <w:iCs/>
    </w:rPr>
  </w:style>
  <w:style w:type="paragraph" w:styleId="Paragraphedeliste">
    <w:name w:val="List Paragraph"/>
    <w:basedOn w:val="Normal"/>
    <w:uiPriority w:val="34"/>
    <w:qFormat/>
    <w:rsid w:val="00BC6E48"/>
    <w:pPr>
      <w:ind w:left="720"/>
      <w:contextualSpacing/>
    </w:pPr>
  </w:style>
  <w:style w:type="paragraph" w:styleId="En-tte">
    <w:name w:val="header"/>
    <w:basedOn w:val="Normal"/>
    <w:link w:val="En-tteCar"/>
    <w:uiPriority w:val="99"/>
    <w:unhideWhenUsed/>
    <w:rsid w:val="002D75E3"/>
    <w:pPr>
      <w:tabs>
        <w:tab w:val="center" w:pos="4536"/>
        <w:tab w:val="right" w:pos="9072"/>
      </w:tabs>
      <w:spacing w:after="0" w:line="240" w:lineRule="auto"/>
    </w:pPr>
  </w:style>
  <w:style w:type="character" w:customStyle="1" w:styleId="En-tteCar">
    <w:name w:val="En-tête Car"/>
    <w:basedOn w:val="Policepardfaut"/>
    <w:link w:val="En-tte"/>
    <w:uiPriority w:val="99"/>
    <w:rsid w:val="002D75E3"/>
  </w:style>
  <w:style w:type="paragraph" w:styleId="Pieddepage">
    <w:name w:val="footer"/>
    <w:basedOn w:val="Normal"/>
    <w:link w:val="PieddepageCar"/>
    <w:uiPriority w:val="99"/>
    <w:unhideWhenUsed/>
    <w:rsid w:val="002D75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5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0B81"/>
    <w:rPr>
      <w:color w:val="0000FF"/>
      <w:u w:val="single"/>
    </w:rPr>
  </w:style>
  <w:style w:type="paragraph" w:styleId="Notedebasdepage">
    <w:name w:val="footnote text"/>
    <w:basedOn w:val="Normal"/>
    <w:link w:val="NotedebasdepageCar"/>
    <w:uiPriority w:val="99"/>
    <w:semiHidden/>
    <w:unhideWhenUsed/>
    <w:rsid w:val="00C15A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5A6F"/>
    <w:rPr>
      <w:sz w:val="20"/>
      <w:szCs w:val="20"/>
    </w:rPr>
  </w:style>
  <w:style w:type="character" w:styleId="Appelnotedebasdep">
    <w:name w:val="footnote reference"/>
    <w:basedOn w:val="Policepardfaut"/>
    <w:uiPriority w:val="99"/>
    <w:semiHidden/>
    <w:unhideWhenUsed/>
    <w:rsid w:val="00C15A6F"/>
    <w:rPr>
      <w:vertAlign w:val="superscript"/>
    </w:rPr>
  </w:style>
  <w:style w:type="character" w:customStyle="1" w:styleId="Titre1Car">
    <w:name w:val="Titre 1 Car"/>
    <w:basedOn w:val="Policepardfaut"/>
    <w:link w:val="Titre1"/>
    <w:uiPriority w:val="9"/>
    <w:rsid w:val="00C15A6F"/>
    <w:rPr>
      <w:rFonts w:asciiTheme="majorHAnsi" w:eastAsiaTheme="majorEastAsia" w:hAnsiTheme="majorHAnsi" w:cstheme="majorBidi"/>
      <w:b/>
      <w:bCs/>
      <w:color w:val="365F91" w:themeColor="accent1" w:themeShade="BF"/>
      <w:sz w:val="28"/>
      <w:szCs w:val="28"/>
    </w:rPr>
  </w:style>
  <w:style w:type="paragraph" w:styleId="PrformatHTML">
    <w:name w:val="HTML Preformatted"/>
    <w:basedOn w:val="Normal"/>
    <w:link w:val="PrformatHTMLCar"/>
    <w:uiPriority w:val="99"/>
    <w:semiHidden/>
    <w:unhideWhenUsed/>
    <w:rsid w:val="004C7AF9"/>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4C7AF9"/>
    <w:rPr>
      <w:rFonts w:ascii="Consolas" w:hAnsi="Consolas" w:cs="Consolas"/>
      <w:sz w:val="20"/>
      <w:szCs w:val="20"/>
    </w:rPr>
  </w:style>
  <w:style w:type="character" w:customStyle="1" w:styleId="markedcontent">
    <w:name w:val="markedcontent"/>
    <w:basedOn w:val="Policepardfaut"/>
    <w:rsid w:val="00447664"/>
  </w:style>
  <w:style w:type="character" w:customStyle="1" w:styleId="q4iawc">
    <w:name w:val="q4iawc"/>
    <w:basedOn w:val="Policepardfaut"/>
    <w:rsid w:val="00073159"/>
  </w:style>
  <w:style w:type="character" w:styleId="Accentuation">
    <w:name w:val="Emphasis"/>
    <w:basedOn w:val="Policepardfaut"/>
    <w:uiPriority w:val="20"/>
    <w:qFormat/>
    <w:rsid w:val="00BC6E48"/>
    <w:rPr>
      <w:i/>
      <w:iCs/>
    </w:rPr>
  </w:style>
  <w:style w:type="paragraph" w:styleId="Paragraphedeliste">
    <w:name w:val="List Paragraph"/>
    <w:basedOn w:val="Normal"/>
    <w:uiPriority w:val="34"/>
    <w:qFormat/>
    <w:rsid w:val="00BC6E48"/>
    <w:pPr>
      <w:ind w:left="720"/>
      <w:contextualSpacing/>
    </w:pPr>
  </w:style>
  <w:style w:type="paragraph" w:styleId="En-tte">
    <w:name w:val="header"/>
    <w:basedOn w:val="Normal"/>
    <w:link w:val="En-tteCar"/>
    <w:uiPriority w:val="99"/>
    <w:unhideWhenUsed/>
    <w:rsid w:val="002D75E3"/>
    <w:pPr>
      <w:tabs>
        <w:tab w:val="center" w:pos="4536"/>
        <w:tab w:val="right" w:pos="9072"/>
      </w:tabs>
      <w:spacing w:after="0" w:line="240" w:lineRule="auto"/>
    </w:pPr>
  </w:style>
  <w:style w:type="character" w:customStyle="1" w:styleId="En-tteCar">
    <w:name w:val="En-tête Car"/>
    <w:basedOn w:val="Policepardfaut"/>
    <w:link w:val="En-tte"/>
    <w:uiPriority w:val="99"/>
    <w:rsid w:val="002D75E3"/>
  </w:style>
  <w:style w:type="paragraph" w:styleId="Pieddepage">
    <w:name w:val="footer"/>
    <w:basedOn w:val="Normal"/>
    <w:link w:val="PieddepageCar"/>
    <w:uiPriority w:val="99"/>
    <w:unhideWhenUsed/>
    <w:rsid w:val="002D75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5401">
      <w:bodyDiv w:val="1"/>
      <w:marLeft w:val="0"/>
      <w:marRight w:val="0"/>
      <w:marTop w:val="0"/>
      <w:marBottom w:val="0"/>
      <w:divBdr>
        <w:top w:val="none" w:sz="0" w:space="0" w:color="auto"/>
        <w:left w:val="none" w:sz="0" w:space="0" w:color="auto"/>
        <w:bottom w:val="none" w:sz="0" w:space="0" w:color="auto"/>
        <w:right w:val="none" w:sz="0" w:space="0" w:color="auto"/>
      </w:divBdr>
      <w:divsChild>
        <w:div w:id="91436677">
          <w:marLeft w:val="0"/>
          <w:marRight w:val="0"/>
          <w:marTop w:val="0"/>
          <w:marBottom w:val="0"/>
          <w:divBdr>
            <w:top w:val="none" w:sz="0" w:space="0" w:color="auto"/>
            <w:left w:val="none" w:sz="0" w:space="0" w:color="auto"/>
            <w:bottom w:val="none" w:sz="0" w:space="0" w:color="auto"/>
            <w:right w:val="none" w:sz="0" w:space="0" w:color="auto"/>
          </w:divBdr>
        </w:div>
      </w:divsChild>
    </w:div>
    <w:div w:id="1060446560">
      <w:bodyDiv w:val="1"/>
      <w:marLeft w:val="0"/>
      <w:marRight w:val="0"/>
      <w:marTop w:val="0"/>
      <w:marBottom w:val="0"/>
      <w:divBdr>
        <w:top w:val="none" w:sz="0" w:space="0" w:color="auto"/>
        <w:left w:val="none" w:sz="0" w:space="0" w:color="auto"/>
        <w:bottom w:val="none" w:sz="0" w:space="0" w:color="auto"/>
        <w:right w:val="none" w:sz="0" w:space="0" w:color="auto"/>
      </w:divBdr>
      <w:divsChild>
        <w:div w:id="1595899571">
          <w:marLeft w:val="0"/>
          <w:marRight w:val="0"/>
          <w:marTop w:val="0"/>
          <w:marBottom w:val="0"/>
          <w:divBdr>
            <w:top w:val="none" w:sz="0" w:space="0" w:color="auto"/>
            <w:left w:val="none" w:sz="0" w:space="0" w:color="auto"/>
            <w:bottom w:val="none" w:sz="0" w:space="0" w:color="auto"/>
            <w:right w:val="none" w:sz="0" w:space="0" w:color="auto"/>
          </w:divBdr>
        </w:div>
      </w:divsChild>
    </w:div>
    <w:div w:id="1577977684">
      <w:bodyDiv w:val="1"/>
      <w:marLeft w:val="0"/>
      <w:marRight w:val="0"/>
      <w:marTop w:val="0"/>
      <w:marBottom w:val="0"/>
      <w:divBdr>
        <w:top w:val="none" w:sz="0" w:space="0" w:color="auto"/>
        <w:left w:val="none" w:sz="0" w:space="0" w:color="auto"/>
        <w:bottom w:val="none" w:sz="0" w:space="0" w:color="auto"/>
        <w:right w:val="none" w:sz="0" w:space="0" w:color="auto"/>
      </w:divBdr>
      <w:divsChild>
        <w:div w:id="446579537">
          <w:marLeft w:val="0"/>
          <w:marRight w:val="0"/>
          <w:marTop w:val="0"/>
          <w:marBottom w:val="0"/>
          <w:divBdr>
            <w:top w:val="none" w:sz="0" w:space="0" w:color="auto"/>
            <w:left w:val="none" w:sz="0" w:space="0" w:color="auto"/>
            <w:bottom w:val="none" w:sz="0" w:space="0" w:color="auto"/>
            <w:right w:val="none" w:sz="0" w:space="0" w:color="auto"/>
          </w:divBdr>
        </w:div>
        <w:div w:id="396245939">
          <w:marLeft w:val="0"/>
          <w:marRight w:val="0"/>
          <w:marTop w:val="0"/>
          <w:marBottom w:val="0"/>
          <w:divBdr>
            <w:top w:val="none" w:sz="0" w:space="0" w:color="auto"/>
            <w:left w:val="none" w:sz="0" w:space="0" w:color="auto"/>
            <w:bottom w:val="none" w:sz="0" w:space="0" w:color="auto"/>
            <w:right w:val="none" w:sz="0" w:space="0" w:color="auto"/>
          </w:divBdr>
        </w:div>
        <w:div w:id="1514152720">
          <w:marLeft w:val="0"/>
          <w:marRight w:val="0"/>
          <w:marTop w:val="0"/>
          <w:marBottom w:val="0"/>
          <w:divBdr>
            <w:top w:val="none" w:sz="0" w:space="0" w:color="auto"/>
            <w:left w:val="none" w:sz="0" w:space="0" w:color="auto"/>
            <w:bottom w:val="none" w:sz="0" w:space="0" w:color="auto"/>
            <w:right w:val="none" w:sz="0" w:space="0" w:color="auto"/>
          </w:divBdr>
        </w:div>
        <w:div w:id="557399351">
          <w:marLeft w:val="0"/>
          <w:marRight w:val="0"/>
          <w:marTop w:val="0"/>
          <w:marBottom w:val="0"/>
          <w:divBdr>
            <w:top w:val="none" w:sz="0" w:space="0" w:color="auto"/>
            <w:left w:val="none" w:sz="0" w:space="0" w:color="auto"/>
            <w:bottom w:val="none" w:sz="0" w:space="0" w:color="auto"/>
            <w:right w:val="none" w:sz="0" w:space="0" w:color="auto"/>
          </w:divBdr>
        </w:div>
        <w:div w:id="60718138">
          <w:marLeft w:val="0"/>
          <w:marRight w:val="0"/>
          <w:marTop w:val="0"/>
          <w:marBottom w:val="0"/>
          <w:divBdr>
            <w:top w:val="none" w:sz="0" w:space="0" w:color="auto"/>
            <w:left w:val="none" w:sz="0" w:space="0" w:color="auto"/>
            <w:bottom w:val="none" w:sz="0" w:space="0" w:color="auto"/>
            <w:right w:val="none" w:sz="0" w:space="0" w:color="auto"/>
          </w:divBdr>
        </w:div>
        <w:div w:id="1519584064">
          <w:marLeft w:val="0"/>
          <w:marRight w:val="0"/>
          <w:marTop w:val="0"/>
          <w:marBottom w:val="0"/>
          <w:divBdr>
            <w:top w:val="none" w:sz="0" w:space="0" w:color="auto"/>
            <w:left w:val="none" w:sz="0" w:space="0" w:color="auto"/>
            <w:bottom w:val="none" w:sz="0" w:space="0" w:color="auto"/>
            <w:right w:val="none" w:sz="0" w:space="0" w:color="auto"/>
          </w:divBdr>
        </w:div>
        <w:div w:id="1122073571">
          <w:marLeft w:val="0"/>
          <w:marRight w:val="0"/>
          <w:marTop w:val="0"/>
          <w:marBottom w:val="0"/>
          <w:divBdr>
            <w:top w:val="none" w:sz="0" w:space="0" w:color="auto"/>
            <w:left w:val="none" w:sz="0" w:space="0" w:color="auto"/>
            <w:bottom w:val="none" w:sz="0" w:space="0" w:color="auto"/>
            <w:right w:val="none" w:sz="0" w:space="0" w:color="auto"/>
          </w:divBdr>
        </w:div>
      </w:divsChild>
    </w:div>
    <w:div w:id="16884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phie@info-birmani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j-cij.org/public/files/case-related/178/178-20220722-SUM-01-00-F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ada.ca/fr/affaires-mondiales/nouvelles/2022/07/declaration-commune-du-canada-et-du-royaume-des-pays-bas-concernant-la-decision-rendue-aujourdhui-par-la-cour-internationale-de-justice-dans-laffai.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uswaertiges-amt.de/en/newsroom/news/-/2548384" TargetMode="External"/><Relationship Id="rId4" Type="http://schemas.microsoft.com/office/2007/relationships/stylesWithEffects" Target="stylesWithEffects.xml"/><Relationship Id="rId9" Type="http://schemas.openxmlformats.org/officeDocument/2006/relationships/hyperlink" Target="https://www.gov.uk/government/news/uk-statement-on-the-5th-anniversary-of-the-rohingya-crisi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rw.org/fr/news/2022/08/24/myanmar-cinq-ans-plus-tard-les-rohingyas-sont-toujours-prives-de-justice-et-de?fbclid=IwAR3qyh37gjR31H_BUTbhPEE28GMBP_tWMfTuEUH6bnFphuLeAj47uVQoD6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27D5-E963-4AC3-BFD8-9E3342AB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703</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6</cp:revision>
  <cp:lastPrinted>2022-09-26T08:23:00Z</cp:lastPrinted>
  <dcterms:created xsi:type="dcterms:W3CDTF">2022-09-23T10:12:00Z</dcterms:created>
  <dcterms:modified xsi:type="dcterms:W3CDTF">2022-09-26T08:23:00Z</dcterms:modified>
</cp:coreProperties>
</file>